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0D" w:rsidRDefault="00920D0D" w:rsidP="007069D0">
      <w:pPr>
        <w:spacing w:after="120" w:line="360" w:lineRule="auto"/>
        <w:jc w:val="both"/>
        <w:rPr>
          <w:rFonts w:ascii="Times New Roman" w:hAnsi="Times New Roman" w:cs="Times New Roman"/>
          <w:b/>
          <w:sz w:val="24"/>
          <w:szCs w:val="24"/>
        </w:rPr>
      </w:pPr>
      <w:r w:rsidRPr="00920D0D">
        <w:rPr>
          <w:rFonts w:ascii="Times New Roman" w:hAnsi="Times New Roman" w:cs="Times New Roman"/>
          <w:b/>
          <w:sz w:val="24"/>
          <w:szCs w:val="24"/>
        </w:rPr>
        <w:drawing>
          <wp:anchor distT="0" distB="0" distL="114300" distR="114300" simplePos="0" relativeHeight="251659264" behindDoc="1" locked="0" layoutInCell="1" allowOverlap="1" wp14:anchorId="18A75A9A" wp14:editId="674B7D8A">
            <wp:simplePos x="0" y="0"/>
            <wp:positionH relativeFrom="column">
              <wp:posOffset>-111760</wp:posOffset>
            </wp:positionH>
            <wp:positionV relativeFrom="paragraph">
              <wp:posOffset>241300</wp:posOffset>
            </wp:positionV>
            <wp:extent cx="1667510" cy="1667510"/>
            <wp:effectExtent l="0" t="0" r="8890" b="8890"/>
            <wp:wrapTight wrapText="bothSides">
              <wp:wrapPolygon edited="0">
                <wp:start x="7896" y="0"/>
                <wp:lineTo x="6416" y="247"/>
                <wp:lineTo x="1727" y="3455"/>
                <wp:lineTo x="247" y="6663"/>
                <wp:lineTo x="0" y="7896"/>
                <wp:lineTo x="0" y="13572"/>
                <wp:lineTo x="494" y="15793"/>
                <wp:lineTo x="3701" y="19741"/>
                <wp:lineTo x="7403" y="21468"/>
                <wp:lineTo x="7896" y="21468"/>
                <wp:lineTo x="13572" y="21468"/>
                <wp:lineTo x="14065" y="21468"/>
                <wp:lineTo x="17767" y="19741"/>
                <wp:lineTo x="20975" y="15793"/>
                <wp:lineTo x="21468" y="13572"/>
                <wp:lineTo x="21468" y="7403"/>
                <wp:lineTo x="19741" y="3455"/>
                <wp:lineTo x="15053" y="247"/>
                <wp:lineTo x="13572" y="0"/>
                <wp:lineTo x="7896" y="0"/>
              </wp:wrapPolygon>
            </wp:wrapTight>
            <wp:docPr id="1" name="Resim 1" descr="http://www.kalkinma.gov.tr/DocObjects/view/12599/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lkinma.gov.tr/DocObjects/view/12599/Kalkınma_Bakanlığı_logo(_arkası_beya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7510" cy="1667510"/>
                    </a:xfrm>
                    <a:prstGeom prst="rect">
                      <a:avLst/>
                    </a:prstGeom>
                    <a:noFill/>
                    <a:ln>
                      <a:noFill/>
                    </a:ln>
                  </pic:spPr>
                </pic:pic>
              </a:graphicData>
            </a:graphic>
          </wp:anchor>
        </w:drawing>
      </w:r>
      <w:r w:rsidRPr="00920D0D">
        <w:rPr>
          <w:rFonts w:ascii="Times New Roman" w:hAnsi="Times New Roman" w:cs="Times New Roman"/>
          <w:b/>
          <w:sz w:val="24"/>
          <w:szCs w:val="24"/>
        </w:rPr>
        <w:drawing>
          <wp:anchor distT="0" distB="0" distL="114300" distR="114300" simplePos="0" relativeHeight="251660288" behindDoc="1" locked="0" layoutInCell="1" allowOverlap="1" wp14:anchorId="0D705EA9" wp14:editId="2AEC35DD">
            <wp:simplePos x="0" y="0"/>
            <wp:positionH relativeFrom="column">
              <wp:posOffset>1759585</wp:posOffset>
            </wp:positionH>
            <wp:positionV relativeFrom="paragraph">
              <wp:posOffset>353060</wp:posOffset>
            </wp:positionV>
            <wp:extent cx="2267585" cy="1467485"/>
            <wp:effectExtent l="0" t="0" r="0" b="0"/>
            <wp:wrapTight wrapText="bothSides">
              <wp:wrapPolygon edited="0">
                <wp:start x="0" y="0"/>
                <wp:lineTo x="0" y="21310"/>
                <wp:lineTo x="21412" y="21310"/>
                <wp:lineTo x="21412" y="0"/>
                <wp:lineTo x="0" y="0"/>
              </wp:wrapPolygon>
            </wp:wrapTight>
            <wp:docPr id="2" name="Resim 2" descr="http://ec.europa.eu/information_society/activities/ict_psp/library/dissemination/img/ict_p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information_society/activities/ict_psp/library/dissemination/img/ict_psp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585" cy="1467485"/>
                    </a:xfrm>
                    <a:prstGeom prst="rect">
                      <a:avLst/>
                    </a:prstGeom>
                    <a:noFill/>
                    <a:ln>
                      <a:noFill/>
                    </a:ln>
                  </pic:spPr>
                </pic:pic>
              </a:graphicData>
            </a:graphic>
          </wp:anchor>
        </w:drawing>
      </w:r>
      <w:r w:rsidRPr="00920D0D">
        <w:rPr>
          <w:rFonts w:ascii="Times New Roman" w:hAnsi="Times New Roman" w:cs="Times New Roman"/>
          <w:b/>
          <w:sz w:val="24"/>
          <w:szCs w:val="24"/>
        </w:rPr>
        <w:drawing>
          <wp:anchor distT="0" distB="0" distL="114300" distR="114300" simplePos="0" relativeHeight="251661312" behindDoc="1" locked="0" layoutInCell="1" allowOverlap="1" wp14:anchorId="6CC70DD7" wp14:editId="2B6AEC4A">
            <wp:simplePos x="0" y="0"/>
            <wp:positionH relativeFrom="column">
              <wp:posOffset>4166870</wp:posOffset>
            </wp:positionH>
            <wp:positionV relativeFrom="paragraph">
              <wp:posOffset>350520</wp:posOffset>
            </wp:positionV>
            <wp:extent cx="1996440" cy="1356360"/>
            <wp:effectExtent l="0" t="0" r="3810" b="0"/>
            <wp:wrapTight wrapText="bothSides">
              <wp:wrapPolygon edited="0">
                <wp:start x="0" y="0"/>
                <wp:lineTo x="0" y="21236"/>
                <wp:lineTo x="21435" y="21236"/>
                <wp:lineTo x="21435" y="0"/>
                <wp:lineTo x="0" y="0"/>
              </wp:wrapPolygon>
            </wp:wrapTight>
            <wp:docPr id="4" name="Resim 4" descr="http://europa.eu/abc/symbols/emblem/images/europ_flag/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ropa.eu/abc/symbols/emblem/images/europ_flag/jau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6440" cy="1356360"/>
                    </a:xfrm>
                    <a:prstGeom prst="rect">
                      <a:avLst/>
                    </a:prstGeom>
                    <a:noFill/>
                    <a:ln>
                      <a:noFill/>
                    </a:ln>
                  </pic:spPr>
                </pic:pic>
              </a:graphicData>
            </a:graphic>
          </wp:anchor>
        </w:drawing>
      </w:r>
    </w:p>
    <w:p w:rsidR="00920D0D" w:rsidRDefault="00920D0D" w:rsidP="007069D0">
      <w:pPr>
        <w:spacing w:after="120" w:line="360" w:lineRule="auto"/>
        <w:jc w:val="both"/>
        <w:rPr>
          <w:rFonts w:ascii="Times New Roman" w:hAnsi="Times New Roman" w:cs="Times New Roman"/>
          <w:b/>
          <w:sz w:val="24"/>
          <w:szCs w:val="24"/>
        </w:rPr>
      </w:pPr>
    </w:p>
    <w:p w:rsidR="00920D0D" w:rsidRDefault="00920D0D" w:rsidP="007069D0">
      <w:pPr>
        <w:spacing w:after="120" w:line="360" w:lineRule="auto"/>
        <w:jc w:val="both"/>
        <w:rPr>
          <w:rFonts w:ascii="Times New Roman" w:hAnsi="Times New Roman" w:cs="Times New Roman"/>
          <w:b/>
          <w:sz w:val="24"/>
          <w:szCs w:val="24"/>
        </w:rPr>
      </w:pPr>
    </w:p>
    <w:p w:rsidR="00920D0D" w:rsidRDefault="00920D0D" w:rsidP="007069D0">
      <w:pPr>
        <w:spacing w:after="120" w:line="360" w:lineRule="auto"/>
        <w:jc w:val="both"/>
        <w:rPr>
          <w:rFonts w:ascii="Times New Roman" w:hAnsi="Times New Roman" w:cs="Times New Roman"/>
          <w:b/>
          <w:sz w:val="24"/>
          <w:szCs w:val="24"/>
        </w:rPr>
      </w:pPr>
    </w:p>
    <w:p w:rsidR="007069D0" w:rsidRPr="007069D0" w:rsidRDefault="007069D0" w:rsidP="007069D0">
      <w:pPr>
        <w:spacing w:after="120" w:line="360" w:lineRule="auto"/>
        <w:jc w:val="both"/>
        <w:rPr>
          <w:rFonts w:ascii="Times New Roman" w:hAnsi="Times New Roman" w:cs="Times New Roman"/>
          <w:b/>
          <w:sz w:val="24"/>
          <w:szCs w:val="24"/>
        </w:rPr>
      </w:pPr>
      <w:r w:rsidRPr="007069D0">
        <w:rPr>
          <w:rFonts w:ascii="Times New Roman" w:hAnsi="Times New Roman" w:cs="Times New Roman"/>
          <w:b/>
          <w:sz w:val="24"/>
          <w:szCs w:val="24"/>
        </w:rPr>
        <w:t>Bilişimde AB’ye Ödediğimizden Daha Fazla Fon Aldık</w:t>
      </w:r>
    </w:p>
    <w:p w:rsidR="007069D0" w:rsidRPr="007069D0" w:rsidRDefault="007069D0" w:rsidP="007069D0">
      <w:pPr>
        <w:pStyle w:val="DzMetin"/>
        <w:spacing w:after="120" w:line="360" w:lineRule="auto"/>
        <w:ind w:firstLine="708"/>
        <w:jc w:val="both"/>
        <w:rPr>
          <w:rFonts w:ascii="Times New Roman" w:hAnsi="Times New Roman" w:cs="Times New Roman"/>
          <w:sz w:val="24"/>
          <w:szCs w:val="24"/>
          <w:lang w:eastAsia="tr-TR"/>
        </w:rPr>
      </w:pPr>
      <w:r w:rsidRPr="007069D0">
        <w:rPr>
          <w:rFonts w:ascii="Times New Roman" w:hAnsi="Times New Roman" w:cs="Times New Roman"/>
          <w:sz w:val="24"/>
          <w:szCs w:val="24"/>
        </w:rPr>
        <w:t>Türkiye, Rekabet Edebilirlik ve Yenilik Çerçeve Programı (CIP) altındaki üç programdan biri olan Bilgi ve İletişim Teknolojileri Politika Destek Programı'na (ICT PSP) 2009 yılından bu yana katılım sağlıyor. ICT PSP Programı’nın ana amacı, Avrupa için Sayısal Gündem’de (</w:t>
      </w:r>
      <w:proofErr w:type="spellStart"/>
      <w:r w:rsidRPr="007069D0">
        <w:rPr>
          <w:rFonts w:ascii="Times New Roman" w:hAnsi="Times New Roman" w:cs="Times New Roman"/>
          <w:sz w:val="24"/>
          <w:szCs w:val="24"/>
        </w:rPr>
        <w:t>Digital</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Agenda</w:t>
      </w:r>
      <w:proofErr w:type="spellEnd"/>
      <w:r w:rsidRPr="007069D0">
        <w:rPr>
          <w:rFonts w:ascii="Times New Roman" w:hAnsi="Times New Roman" w:cs="Times New Roman"/>
          <w:sz w:val="24"/>
          <w:szCs w:val="24"/>
        </w:rPr>
        <w:t xml:space="preserve"> for Europe) belirlenen politika alanları ve öncelikleri dikkate alınarak, rekabetçi ve yenilikçi bir bilgi toplumunun gelişiminin hızlandırılması, tek Avrupa bilgi alanının geliştirilmesi, bilgi ve iletişim teknolojilerinin topluma yaygınlaştırılması ve etkin kullanımının sağlanmasıdır. 2007-2013 yılları arasında uygulanmakta olan ICT PSP Programı toplam 730 milyon Avro bütçeye sahiptir. </w:t>
      </w:r>
      <w:r w:rsidRPr="007069D0">
        <w:rPr>
          <w:rFonts w:ascii="Times New Roman" w:hAnsi="Times New Roman" w:cs="Times New Roman"/>
          <w:sz w:val="24"/>
          <w:szCs w:val="24"/>
          <w:lang w:eastAsia="tr-TR"/>
        </w:rPr>
        <w:t>Program’a, Avrupa Birliği’ne üye ülkelerin yanı sıra Türkiye, Hırvatistan, Sırbistan, Karadağ, Norveç, İzlanda ve Lihtenştayn ile birlikte toplam 34 ülke aynı statüde katılım sağlıyor.</w:t>
      </w:r>
    </w:p>
    <w:p w:rsidR="007069D0" w:rsidRPr="007069D0" w:rsidRDefault="007069D0" w:rsidP="007069D0">
      <w:pPr>
        <w:pStyle w:val="DzMetin"/>
        <w:spacing w:after="120" w:line="360" w:lineRule="auto"/>
        <w:ind w:firstLine="708"/>
        <w:jc w:val="both"/>
        <w:rPr>
          <w:rFonts w:ascii="Times New Roman" w:hAnsi="Times New Roman" w:cs="Times New Roman"/>
          <w:sz w:val="24"/>
          <w:szCs w:val="24"/>
        </w:rPr>
      </w:pPr>
      <w:r w:rsidRPr="007069D0">
        <w:rPr>
          <w:rFonts w:ascii="Times New Roman" w:hAnsi="Times New Roman" w:cs="Times New Roman"/>
          <w:sz w:val="24"/>
          <w:szCs w:val="24"/>
        </w:rPr>
        <w:t>Türkiye, bilişim alanında AB'nin yürüttüğü bu mali destek programına katılım konusunda 2011 yılında büyük bir başarı gösterdi ve geçtiğimiz yıl yüzde 88 olan geri dönüş oranını yüzde 163 seviyesine taşıdı. ICT PSP Programı’nda yakalanan bu oran, bilişim alanında yürütülen AB programlarında ülkemiz tarafından bugüne kadarki elde edilmiş en büyük geri dönüş oranıdır. Ulusal koordinasyonu Kalkınma Bakanlığı Bilgi Toplumu Dairesi tarafından yürütülen Program'da hem başvuru sayısı hem de geri dönüş oranının yüksekliği, Türkiye'nin bilişim alanında AB üyesi ülkelerdeki ortaklar ile işbirliği geliştirme ve proje uygulama konusundaki başarısını gösteriyor.</w:t>
      </w:r>
    </w:p>
    <w:p w:rsidR="007069D0" w:rsidRPr="007069D0" w:rsidRDefault="007069D0" w:rsidP="007069D0">
      <w:pPr>
        <w:pStyle w:val="DzMetin"/>
        <w:spacing w:after="120" w:line="360" w:lineRule="auto"/>
        <w:ind w:firstLine="708"/>
        <w:jc w:val="both"/>
        <w:rPr>
          <w:rFonts w:ascii="Times New Roman" w:hAnsi="Times New Roman" w:cs="Times New Roman"/>
          <w:sz w:val="24"/>
          <w:szCs w:val="24"/>
        </w:rPr>
      </w:pPr>
      <w:r w:rsidRPr="007069D0">
        <w:rPr>
          <w:rFonts w:ascii="Times New Roman" w:hAnsi="Times New Roman" w:cs="Times New Roman"/>
          <w:sz w:val="24"/>
          <w:szCs w:val="24"/>
        </w:rPr>
        <w:t xml:space="preserve">Türkiye, ICT PSP Programı 2011 Yılı Çağrısı kapsamında ulusal bütçeden </w:t>
      </w:r>
      <w:r w:rsidRPr="007069D0">
        <w:rPr>
          <w:rFonts w:ascii="Times New Roman" w:hAnsi="Times New Roman" w:cs="Times New Roman"/>
          <w:b/>
          <w:sz w:val="24"/>
          <w:szCs w:val="24"/>
        </w:rPr>
        <w:t>1.640.160 Avro</w:t>
      </w:r>
      <w:r w:rsidRPr="007069D0">
        <w:rPr>
          <w:rFonts w:ascii="Times New Roman" w:hAnsi="Times New Roman" w:cs="Times New Roman"/>
          <w:sz w:val="24"/>
          <w:szCs w:val="24"/>
        </w:rPr>
        <w:t xml:space="preserve"> tutarında bir ödeme yaptı. Çağrı kapsamında ülkemizden 39 ortak, 26 farklı proje </w:t>
      </w:r>
      <w:proofErr w:type="gramStart"/>
      <w:r w:rsidRPr="007069D0">
        <w:rPr>
          <w:rFonts w:ascii="Times New Roman" w:hAnsi="Times New Roman" w:cs="Times New Roman"/>
          <w:sz w:val="24"/>
          <w:szCs w:val="24"/>
        </w:rPr>
        <w:t>konsorsiyumunda</w:t>
      </w:r>
      <w:proofErr w:type="gramEnd"/>
      <w:r w:rsidRPr="007069D0">
        <w:rPr>
          <w:rFonts w:ascii="Times New Roman" w:hAnsi="Times New Roman" w:cs="Times New Roman"/>
          <w:sz w:val="24"/>
          <w:szCs w:val="24"/>
        </w:rPr>
        <w:t xml:space="preserve"> yer aldı ve Avrupa Komisyonu’ndan hibe talep etti. Yapılan değerlendirmeler sonucunda, 10 farklı projede yer alan 15 Türk ortak Komisyon desteği almaya hak kazandı. Bu projeler sonucunda, Türk ortaklar, Komisyon’dan toplam </w:t>
      </w:r>
      <w:r w:rsidRPr="007069D0">
        <w:rPr>
          <w:rFonts w:ascii="Times New Roman" w:hAnsi="Times New Roman" w:cs="Times New Roman"/>
          <w:b/>
          <w:sz w:val="24"/>
          <w:szCs w:val="24"/>
        </w:rPr>
        <w:t>2.674.000 Avro</w:t>
      </w:r>
      <w:r w:rsidRPr="007069D0">
        <w:rPr>
          <w:rFonts w:ascii="Times New Roman" w:hAnsi="Times New Roman" w:cs="Times New Roman"/>
          <w:sz w:val="24"/>
          <w:szCs w:val="24"/>
        </w:rPr>
        <w:t xml:space="preserve"> tutarında hibe alacak.</w:t>
      </w:r>
    </w:p>
    <w:p w:rsidR="007069D0" w:rsidRPr="00611116" w:rsidRDefault="007069D0" w:rsidP="00611116">
      <w:pPr>
        <w:ind w:firstLine="708"/>
        <w:rPr>
          <w:rFonts w:ascii="Times New Roman" w:hAnsi="Times New Roman" w:cs="Times New Roman"/>
          <w:b/>
          <w:sz w:val="24"/>
          <w:szCs w:val="24"/>
        </w:rPr>
      </w:pPr>
      <w:r w:rsidRPr="007069D0">
        <w:rPr>
          <w:rFonts w:ascii="Times New Roman" w:hAnsi="Times New Roman" w:cs="Times New Roman"/>
          <w:sz w:val="24"/>
          <w:szCs w:val="24"/>
        </w:rPr>
        <w:t>Ülkemizin ICT PSP Programı’ndaki başarısı Program’a katıldığı 2009 yılından bu yana önemli oranda artmış bulunuyor.</w:t>
      </w:r>
    </w:p>
    <w:p w:rsidR="007069D0" w:rsidRPr="007069D0" w:rsidRDefault="007069D0" w:rsidP="007069D0">
      <w:pPr>
        <w:pStyle w:val="ResimYazs"/>
        <w:keepNext/>
        <w:spacing w:after="120" w:line="360" w:lineRule="auto"/>
        <w:rPr>
          <w:sz w:val="24"/>
          <w:szCs w:val="24"/>
        </w:rPr>
      </w:pPr>
      <w:r w:rsidRPr="007069D0">
        <w:rPr>
          <w:sz w:val="24"/>
          <w:szCs w:val="24"/>
        </w:rPr>
        <w:t xml:space="preserve">Tablo </w:t>
      </w:r>
      <w:r w:rsidRPr="007069D0">
        <w:rPr>
          <w:sz w:val="24"/>
          <w:szCs w:val="24"/>
        </w:rPr>
        <w:fldChar w:fldCharType="begin"/>
      </w:r>
      <w:r w:rsidRPr="007069D0">
        <w:rPr>
          <w:sz w:val="24"/>
          <w:szCs w:val="24"/>
        </w:rPr>
        <w:instrText xml:space="preserve"> SEQ Tablo \* ARABIC </w:instrText>
      </w:r>
      <w:r w:rsidRPr="007069D0">
        <w:rPr>
          <w:sz w:val="24"/>
          <w:szCs w:val="24"/>
        </w:rPr>
        <w:fldChar w:fldCharType="separate"/>
      </w:r>
      <w:r w:rsidRPr="007069D0">
        <w:rPr>
          <w:noProof/>
          <w:sz w:val="24"/>
          <w:szCs w:val="24"/>
        </w:rPr>
        <w:t>1</w:t>
      </w:r>
      <w:r w:rsidRPr="007069D0">
        <w:rPr>
          <w:sz w:val="24"/>
          <w:szCs w:val="24"/>
        </w:rPr>
        <w:fldChar w:fldCharType="end"/>
      </w:r>
      <w:r w:rsidRPr="007069D0">
        <w:rPr>
          <w:sz w:val="24"/>
          <w:szCs w:val="24"/>
        </w:rPr>
        <w:t>. ICT PSP - Ödenen Ulusal Katkı ve Alınan Hibe Miktarı (2009-2011)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6"/>
        <w:gridCol w:w="1382"/>
        <w:gridCol w:w="1382"/>
        <w:gridCol w:w="1382"/>
      </w:tblGrid>
      <w:tr w:rsidR="007069D0" w:rsidRPr="007069D0" w:rsidTr="00F51209">
        <w:trPr>
          <w:trHeight w:val="393"/>
        </w:trPr>
        <w:tc>
          <w:tcPr>
            <w:tcW w:w="3646" w:type="dxa"/>
            <w:shd w:val="clear" w:color="auto" w:fill="auto"/>
          </w:tcPr>
          <w:p w:rsidR="007069D0" w:rsidRPr="007069D0" w:rsidRDefault="007069D0" w:rsidP="00F51209">
            <w:pPr>
              <w:pStyle w:val="Balk1"/>
              <w:spacing w:line="360" w:lineRule="auto"/>
              <w:jc w:val="both"/>
              <w:rPr>
                <w:b w:val="0"/>
                <w:bCs w:val="0"/>
                <w:lang w:eastAsia="tr-TR"/>
              </w:rPr>
            </w:pPr>
          </w:p>
        </w:tc>
        <w:tc>
          <w:tcPr>
            <w:tcW w:w="1382" w:type="dxa"/>
            <w:shd w:val="clear" w:color="auto" w:fill="auto"/>
            <w:vAlign w:val="center"/>
          </w:tcPr>
          <w:p w:rsidR="007069D0" w:rsidRPr="007069D0" w:rsidRDefault="007069D0" w:rsidP="00F51209">
            <w:pPr>
              <w:pStyle w:val="Balk1"/>
              <w:spacing w:line="360" w:lineRule="auto"/>
              <w:jc w:val="center"/>
              <w:rPr>
                <w:bCs w:val="0"/>
                <w:lang w:eastAsia="tr-TR"/>
              </w:rPr>
            </w:pPr>
            <w:r w:rsidRPr="007069D0">
              <w:rPr>
                <w:bCs w:val="0"/>
                <w:lang w:eastAsia="tr-TR"/>
              </w:rPr>
              <w:t>2009</w:t>
            </w:r>
          </w:p>
        </w:tc>
        <w:tc>
          <w:tcPr>
            <w:tcW w:w="1382" w:type="dxa"/>
            <w:shd w:val="clear" w:color="auto" w:fill="auto"/>
            <w:vAlign w:val="center"/>
          </w:tcPr>
          <w:p w:rsidR="007069D0" w:rsidRPr="007069D0" w:rsidRDefault="007069D0" w:rsidP="00F51209">
            <w:pPr>
              <w:pStyle w:val="Balk1"/>
              <w:spacing w:line="360" w:lineRule="auto"/>
              <w:jc w:val="center"/>
              <w:rPr>
                <w:bCs w:val="0"/>
                <w:lang w:eastAsia="tr-TR"/>
              </w:rPr>
            </w:pPr>
            <w:r w:rsidRPr="007069D0">
              <w:rPr>
                <w:bCs w:val="0"/>
                <w:lang w:eastAsia="tr-TR"/>
              </w:rPr>
              <w:t>2010</w:t>
            </w:r>
          </w:p>
        </w:tc>
        <w:tc>
          <w:tcPr>
            <w:tcW w:w="1382" w:type="dxa"/>
            <w:shd w:val="clear" w:color="auto" w:fill="auto"/>
            <w:vAlign w:val="center"/>
          </w:tcPr>
          <w:p w:rsidR="007069D0" w:rsidRPr="007069D0" w:rsidRDefault="007069D0" w:rsidP="00F51209">
            <w:pPr>
              <w:pStyle w:val="Balk1"/>
              <w:spacing w:line="360" w:lineRule="auto"/>
              <w:jc w:val="center"/>
              <w:rPr>
                <w:bCs w:val="0"/>
                <w:lang w:eastAsia="tr-TR"/>
              </w:rPr>
            </w:pPr>
            <w:r w:rsidRPr="007069D0">
              <w:rPr>
                <w:bCs w:val="0"/>
                <w:lang w:eastAsia="tr-TR"/>
              </w:rPr>
              <w:t>2011</w:t>
            </w:r>
          </w:p>
        </w:tc>
      </w:tr>
      <w:tr w:rsidR="007069D0" w:rsidRPr="007069D0" w:rsidTr="00F51209">
        <w:tc>
          <w:tcPr>
            <w:tcW w:w="3646" w:type="dxa"/>
            <w:shd w:val="clear" w:color="auto" w:fill="auto"/>
          </w:tcPr>
          <w:p w:rsidR="007069D0" w:rsidRPr="007069D0" w:rsidRDefault="007069D0" w:rsidP="00F51209">
            <w:pPr>
              <w:pStyle w:val="Balk1"/>
              <w:spacing w:line="360" w:lineRule="auto"/>
              <w:jc w:val="both"/>
              <w:rPr>
                <w:bCs w:val="0"/>
                <w:lang w:eastAsia="tr-TR"/>
              </w:rPr>
            </w:pPr>
            <w:r w:rsidRPr="007069D0">
              <w:rPr>
                <w:bCs w:val="0"/>
                <w:lang w:eastAsia="tr-TR"/>
              </w:rPr>
              <w:t>Ödenen Ulusal Katkı (Avro)</w:t>
            </w:r>
          </w:p>
        </w:tc>
        <w:tc>
          <w:tcPr>
            <w:tcW w:w="1382" w:type="dxa"/>
            <w:shd w:val="clear" w:color="auto" w:fill="auto"/>
          </w:tcPr>
          <w:p w:rsidR="007069D0" w:rsidRPr="007069D0" w:rsidRDefault="007069D0" w:rsidP="00F51209">
            <w:pPr>
              <w:pStyle w:val="Balk1"/>
              <w:spacing w:line="360" w:lineRule="auto"/>
              <w:jc w:val="center"/>
              <w:rPr>
                <w:b w:val="0"/>
                <w:bCs w:val="0"/>
                <w:lang w:eastAsia="tr-TR"/>
              </w:rPr>
            </w:pPr>
            <w:r w:rsidRPr="007069D0">
              <w:rPr>
                <w:b w:val="0"/>
                <w:bCs w:val="0"/>
                <w:lang w:eastAsia="tr-TR"/>
              </w:rPr>
              <w:t>944.100</w:t>
            </w:r>
          </w:p>
        </w:tc>
        <w:tc>
          <w:tcPr>
            <w:tcW w:w="1382" w:type="dxa"/>
            <w:shd w:val="clear" w:color="auto" w:fill="auto"/>
          </w:tcPr>
          <w:p w:rsidR="007069D0" w:rsidRPr="007069D0" w:rsidRDefault="007069D0" w:rsidP="00F51209">
            <w:pPr>
              <w:pStyle w:val="Balk1"/>
              <w:spacing w:line="360" w:lineRule="auto"/>
              <w:jc w:val="center"/>
              <w:rPr>
                <w:b w:val="0"/>
                <w:bCs w:val="0"/>
                <w:lang w:eastAsia="tr-TR"/>
              </w:rPr>
            </w:pPr>
            <w:r w:rsidRPr="007069D0">
              <w:rPr>
                <w:b w:val="0"/>
                <w:bCs w:val="0"/>
                <w:lang w:eastAsia="tr-TR"/>
              </w:rPr>
              <w:t>1.257.920</w:t>
            </w:r>
          </w:p>
        </w:tc>
        <w:tc>
          <w:tcPr>
            <w:tcW w:w="1382" w:type="dxa"/>
            <w:shd w:val="clear" w:color="auto" w:fill="auto"/>
          </w:tcPr>
          <w:p w:rsidR="007069D0" w:rsidRPr="007069D0" w:rsidRDefault="007069D0" w:rsidP="00F51209">
            <w:pPr>
              <w:pStyle w:val="Balk1"/>
              <w:spacing w:line="360" w:lineRule="auto"/>
              <w:jc w:val="center"/>
              <w:rPr>
                <w:b w:val="0"/>
                <w:bCs w:val="0"/>
                <w:lang w:eastAsia="tr-TR"/>
              </w:rPr>
            </w:pPr>
            <w:r w:rsidRPr="007069D0">
              <w:rPr>
                <w:b w:val="0"/>
                <w:bCs w:val="0"/>
                <w:lang w:eastAsia="tr-TR"/>
              </w:rPr>
              <w:t>1.640.160</w:t>
            </w:r>
          </w:p>
        </w:tc>
      </w:tr>
      <w:tr w:rsidR="007069D0" w:rsidRPr="007069D0" w:rsidTr="00F51209">
        <w:tc>
          <w:tcPr>
            <w:tcW w:w="3646" w:type="dxa"/>
            <w:shd w:val="clear" w:color="auto" w:fill="auto"/>
          </w:tcPr>
          <w:p w:rsidR="007069D0" w:rsidRPr="007069D0" w:rsidRDefault="007069D0" w:rsidP="00F51209">
            <w:pPr>
              <w:pStyle w:val="Balk1"/>
              <w:spacing w:line="360" w:lineRule="auto"/>
              <w:jc w:val="both"/>
              <w:rPr>
                <w:bCs w:val="0"/>
                <w:lang w:eastAsia="tr-TR"/>
              </w:rPr>
            </w:pPr>
            <w:r w:rsidRPr="007069D0">
              <w:rPr>
                <w:bCs w:val="0"/>
                <w:lang w:eastAsia="tr-TR"/>
              </w:rPr>
              <w:t>Alınan Hibe Miktarı (Avro)</w:t>
            </w:r>
          </w:p>
        </w:tc>
        <w:tc>
          <w:tcPr>
            <w:tcW w:w="1382" w:type="dxa"/>
            <w:shd w:val="clear" w:color="auto" w:fill="auto"/>
          </w:tcPr>
          <w:p w:rsidR="007069D0" w:rsidRPr="007069D0" w:rsidRDefault="007069D0" w:rsidP="00F51209">
            <w:pPr>
              <w:pStyle w:val="Balk1"/>
              <w:spacing w:line="360" w:lineRule="auto"/>
              <w:jc w:val="center"/>
              <w:rPr>
                <w:b w:val="0"/>
                <w:bCs w:val="0"/>
                <w:lang w:eastAsia="tr-TR"/>
              </w:rPr>
            </w:pPr>
            <w:r w:rsidRPr="007069D0">
              <w:rPr>
                <w:b w:val="0"/>
                <w:bCs w:val="0"/>
                <w:lang w:eastAsia="tr-TR"/>
              </w:rPr>
              <w:t>-</w:t>
            </w:r>
          </w:p>
        </w:tc>
        <w:tc>
          <w:tcPr>
            <w:tcW w:w="1382" w:type="dxa"/>
            <w:shd w:val="clear" w:color="auto" w:fill="auto"/>
          </w:tcPr>
          <w:p w:rsidR="007069D0" w:rsidRPr="007069D0" w:rsidRDefault="007069D0" w:rsidP="00F51209">
            <w:pPr>
              <w:pStyle w:val="Balk1"/>
              <w:spacing w:line="360" w:lineRule="auto"/>
              <w:jc w:val="center"/>
              <w:rPr>
                <w:b w:val="0"/>
                <w:bCs w:val="0"/>
                <w:lang w:eastAsia="tr-TR"/>
              </w:rPr>
            </w:pPr>
            <w:r w:rsidRPr="007069D0">
              <w:rPr>
                <w:b w:val="0"/>
                <w:bCs w:val="0"/>
                <w:lang w:eastAsia="tr-TR"/>
              </w:rPr>
              <w:t>1.107.980</w:t>
            </w:r>
          </w:p>
        </w:tc>
        <w:tc>
          <w:tcPr>
            <w:tcW w:w="1382" w:type="dxa"/>
            <w:shd w:val="clear" w:color="auto" w:fill="auto"/>
          </w:tcPr>
          <w:p w:rsidR="007069D0" w:rsidRPr="007069D0" w:rsidRDefault="007069D0" w:rsidP="00F51209">
            <w:pPr>
              <w:pStyle w:val="Balk1"/>
              <w:spacing w:line="360" w:lineRule="auto"/>
              <w:jc w:val="center"/>
              <w:rPr>
                <w:b w:val="0"/>
                <w:bCs w:val="0"/>
                <w:vertAlign w:val="superscript"/>
                <w:lang w:eastAsia="tr-TR"/>
              </w:rPr>
            </w:pPr>
            <w:r w:rsidRPr="007069D0">
              <w:rPr>
                <w:b w:val="0"/>
                <w:bCs w:val="0"/>
                <w:lang w:eastAsia="tr-TR"/>
              </w:rPr>
              <w:t>2.674.000</w:t>
            </w:r>
          </w:p>
        </w:tc>
      </w:tr>
      <w:tr w:rsidR="007069D0" w:rsidRPr="007069D0" w:rsidTr="00F51209">
        <w:tc>
          <w:tcPr>
            <w:tcW w:w="3646" w:type="dxa"/>
            <w:shd w:val="clear" w:color="auto" w:fill="auto"/>
          </w:tcPr>
          <w:p w:rsidR="007069D0" w:rsidRPr="007069D0" w:rsidRDefault="007069D0" w:rsidP="00F51209">
            <w:pPr>
              <w:pStyle w:val="Balk1"/>
              <w:spacing w:line="360" w:lineRule="auto"/>
              <w:jc w:val="both"/>
              <w:rPr>
                <w:bCs w:val="0"/>
                <w:lang w:eastAsia="tr-TR"/>
              </w:rPr>
            </w:pPr>
            <w:r w:rsidRPr="007069D0">
              <w:rPr>
                <w:bCs w:val="0"/>
                <w:lang w:eastAsia="tr-TR"/>
              </w:rPr>
              <w:t>Geri Dönüş Oranı (Yüzde)</w:t>
            </w:r>
          </w:p>
        </w:tc>
        <w:tc>
          <w:tcPr>
            <w:tcW w:w="1382" w:type="dxa"/>
            <w:shd w:val="clear" w:color="auto" w:fill="auto"/>
          </w:tcPr>
          <w:p w:rsidR="007069D0" w:rsidRPr="007069D0" w:rsidRDefault="007069D0" w:rsidP="00F51209">
            <w:pPr>
              <w:pStyle w:val="Balk1"/>
              <w:spacing w:line="360" w:lineRule="auto"/>
              <w:jc w:val="center"/>
              <w:rPr>
                <w:b w:val="0"/>
                <w:bCs w:val="0"/>
                <w:lang w:eastAsia="tr-TR"/>
              </w:rPr>
            </w:pPr>
            <w:r w:rsidRPr="007069D0">
              <w:rPr>
                <w:b w:val="0"/>
                <w:bCs w:val="0"/>
                <w:lang w:eastAsia="tr-TR"/>
              </w:rPr>
              <w:t>0</w:t>
            </w:r>
          </w:p>
        </w:tc>
        <w:tc>
          <w:tcPr>
            <w:tcW w:w="1382" w:type="dxa"/>
            <w:shd w:val="clear" w:color="auto" w:fill="auto"/>
          </w:tcPr>
          <w:p w:rsidR="007069D0" w:rsidRPr="007069D0" w:rsidRDefault="007069D0" w:rsidP="00F51209">
            <w:pPr>
              <w:pStyle w:val="Balk1"/>
              <w:spacing w:line="360" w:lineRule="auto"/>
              <w:jc w:val="center"/>
              <w:rPr>
                <w:b w:val="0"/>
                <w:bCs w:val="0"/>
                <w:lang w:eastAsia="tr-TR"/>
              </w:rPr>
            </w:pPr>
            <w:r w:rsidRPr="007069D0">
              <w:rPr>
                <w:b w:val="0"/>
                <w:bCs w:val="0"/>
                <w:lang w:eastAsia="tr-TR"/>
              </w:rPr>
              <w:t>88</w:t>
            </w:r>
          </w:p>
        </w:tc>
        <w:tc>
          <w:tcPr>
            <w:tcW w:w="1382" w:type="dxa"/>
            <w:shd w:val="clear" w:color="auto" w:fill="auto"/>
          </w:tcPr>
          <w:p w:rsidR="007069D0" w:rsidRPr="007069D0" w:rsidRDefault="007069D0" w:rsidP="00F51209">
            <w:pPr>
              <w:pStyle w:val="Balk1"/>
              <w:spacing w:line="360" w:lineRule="auto"/>
              <w:jc w:val="center"/>
              <w:rPr>
                <w:b w:val="0"/>
                <w:bCs w:val="0"/>
                <w:lang w:eastAsia="tr-TR"/>
              </w:rPr>
            </w:pPr>
            <w:r w:rsidRPr="007069D0">
              <w:rPr>
                <w:b w:val="0"/>
                <w:bCs w:val="0"/>
                <w:lang w:eastAsia="tr-TR"/>
              </w:rPr>
              <w:t>163</w:t>
            </w:r>
          </w:p>
        </w:tc>
      </w:tr>
    </w:tbl>
    <w:p w:rsidR="007069D0" w:rsidRPr="007069D0" w:rsidRDefault="007069D0" w:rsidP="007069D0">
      <w:pPr>
        <w:pStyle w:val="DzMetin"/>
        <w:spacing w:after="120" w:line="360" w:lineRule="auto"/>
        <w:ind w:firstLine="708"/>
        <w:jc w:val="both"/>
        <w:rPr>
          <w:rFonts w:ascii="Times New Roman" w:hAnsi="Times New Roman" w:cs="Times New Roman"/>
          <w:sz w:val="24"/>
          <w:szCs w:val="24"/>
        </w:rPr>
      </w:pPr>
    </w:p>
    <w:p w:rsidR="007069D0" w:rsidRPr="007069D0" w:rsidRDefault="007069D0" w:rsidP="007069D0">
      <w:pPr>
        <w:pStyle w:val="DzMetin"/>
        <w:spacing w:after="120" w:line="360" w:lineRule="auto"/>
        <w:ind w:firstLine="708"/>
        <w:jc w:val="both"/>
        <w:rPr>
          <w:rFonts w:ascii="Times New Roman" w:hAnsi="Times New Roman" w:cs="Times New Roman"/>
          <w:sz w:val="24"/>
          <w:szCs w:val="24"/>
        </w:rPr>
      </w:pPr>
      <w:r w:rsidRPr="007069D0">
        <w:rPr>
          <w:rFonts w:ascii="Times New Roman" w:hAnsi="Times New Roman" w:cs="Times New Roman"/>
          <w:sz w:val="24"/>
          <w:szCs w:val="24"/>
        </w:rPr>
        <w:t xml:space="preserve">ICT PSP Programı’nın 2011 Yılı Çağrısı kapsamında ülkemizden </w:t>
      </w:r>
      <w:r>
        <w:rPr>
          <w:rFonts w:ascii="Times New Roman" w:hAnsi="Times New Roman" w:cs="Times New Roman"/>
          <w:sz w:val="24"/>
          <w:szCs w:val="24"/>
        </w:rPr>
        <w:t xml:space="preserve">Sağlık Bakanlığı, </w:t>
      </w:r>
      <w:r w:rsidR="00611116">
        <w:rPr>
          <w:rFonts w:ascii="Times New Roman" w:hAnsi="Times New Roman" w:cs="Times New Roman"/>
          <w:sz w:val="24"/>
          <w:szCs w:val="24"/>
        </w:rPr>
        <w:t xml:space="preserve">Milli Kütüphane Başkanlığı, </w:t>
      </w:r>
      <w:r>
        <w:rPr>
          <w:rFonts w:ascii="Times New Roman" w:hAnsi="Times New Roman" w:cs="Times New Roman"/>
          <w:sz w:val="24"/>
          <w:szCs w:val="24"/>
        </w:rPr>
        <w:t>Ankara İl Milli Eğitim Müdürlüğü, Doğu Marmara Kalkınma Ajansı, TÜBİTAK</w:t>
      </w:r>
      <w:r w:rsidR="00611116">
        <w:rPr>
          <w:rFonts w:ascii="Times New Roman" w:hAnsi="Times New Roman" w:cs="Times New Roman"/>
          <w:sz w:val="24"/>
          <w:szCs w:val="24"/>
        </w:rPr>
        <w:t>-BİLGEM, TÜBİTAK-ULAKBİM</w:t>
      </w:r>
      <w:r>
        <w:rPr>
          <w:rFonts w:ascii="Times New Roman" w:hAnsi="Times New Roman" w:cs="Times New Roman"/>
          <w:sz w:val="24"/>
          <w:szCs w:val="24"/>
        </w:rPr>
        <w:t xml:space="preserve">, İstanbul Büyükşehir Belediyesi, Niğde Belediyesi, Ordu Belediyesi, </w:t>
      </w:r>
      <w:r w:rsidR="00611116">
        <w:rPr>
          <w:rFonts w:ascii="Times New Roman" w:hAnsi="Times New Roman" w:cs="Times New Roman"/>
          <w:sz w:val="24"/>
          <w:szCs w:val="24"/>
        </w:rPr>
        <w:t>TÜRKSAT, SRDC Ltd. Şti</w:t>
      </w:r>
      <w:proofErr w:type="gramStart"/>
      <w:r w:rsidR="00611116">
        <w:rPr>
          <w:rFonts w:ascii="Times New Roman" w:hAnsi="Times New Roman" w:cs="Times New Roman"/>
          <w:sz w:val="24"/>
          <w:szCs w:val="24"/>
        </w:rPr>
        <w:t>.,</w:t>
      </w:r>
      <w:proofErr w:type="gramEnd"/>
      <w:r w:rsidR="00611116">
        <w:rPr>
          <w:rFonts w:ascii="Times New Roman" w:hAnsi="Times New Roman" w:cs="Times New Roman"/>
          <w:sz w:val="24"/>
          <w:szCs w:val="24"/>
        </w:rPr>
        <w:t xml:space="preserve"> TAGES AŞ, SAMPAŞ, İstanbul SPOR AŞ ve </w:t>
      </w:r>
      <w:r w:rsidR="00611116" w:rsidRPr="007069D0">
        <w:rPr>
          <w:rFonts w:ascii="Times New Roman" w:hAnsi="Times New Roman" w:cs="Times New Roman"/>
          <w:sz w:val="24"/>
          <w:szCs w:val="24"/>
        </w:rPr>
        <w:t>Türkiye Romatizma Araştırma ve Savaş Derneği</w:t>
      </w:r>
      <w:r w:rsidR="00611116">
        <w:rPr>
          <w:rFonts w:ascii="Times New Roman" w:hAnsi="Times New Roman" w:cs="Times New Roman"/>
          <w:sz w:val="24"/>
          <w:szCs w:val="24"/>
        </w:rPr>
        <w:t xml:space="preserve"> Avrupa Birliği tarafından desteklenecek projeler içinde yer alıyor. Bu projeler ve özet bilgileri şu şekildedir:</w:t>
      </w:r>
    </w:p>
    <w:p w:rsidR="002322FF" w:rsidRPr="007069D0" w:rsidRDefault="002322FF" w:rsidP="002322FF">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219"/>
        <w:gridCol w:w="4820"/>
      </w:tblGrid>
      <w:tr w:rsidR="00B67A0C" w:rsidRPr="007069D0" w:rsidTr="00611116">
        <w:trPr>
          <w:trHeight w:val="397"/>
        </w:trPr>
        <w:tc>
          <w:tcPr>
            <w:tcW w:w="4219" w:type="dxa"/>
          </w:tcPr>
          <w:p w:rsidR="00B67A0C" w:rsidRPr="007069D0" w:rsidRDefault="00B67A0C" w:rsidP="0057528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 Adı:</w:t>
            </w:r>
          </w:p>
        </w:tc>
        <w:tc>
          <w:tcPr>
            <w:tcW w:w="4820" w:type="dxa"/>
          </w:tcPr>
          <w:p w:rsidR="00B67A0C" w:rsidRPr="007069D0" w:rsidRDefault="00B67A0C" w:rsidP="00575289">
            <w:pPr>
              <w:spacing w:line="276" w:lineRule="auto"/>
              <w:jc w:val="both"/>
              <w:rPr>
                <w:rFonts w:ascii="Times New Roman" w:hAnsi="Times New Roman" w:cs="Times New Roman"/>
                <w:sz w:val="24"/>
                <w:szCs w:val="24"/>
              </w:rPr>
            </w:pPr>
            <w:proofErr w:type="spellStart"/>
            <w:r w:rsidRPr="007069D0">
              <w:rPr>
                <w:rFonts w:ascii="Times New Roman" w:hAnsi="Times New Roman" w:cs="Times New Roman"/>
                <w:sz w:val="24"/>
                <w:szCs w:val="24"/>
              </w:rPr>
              <w:t>VERYSchool</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Valuable</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EneRgY</w:t>
            </w:r>
            <w:proofErr w:type="spellEnd"/>
            <w:r w:rsidRPr="007069D0">
              <w:rPr>
                <w:rFonts w:ascii="Times New Roman" w:hAnsi="Times New Roman" w:cs="Times New Roman"/>
                <w:sz w:val="24"/>
                <w:szCs w:val="24"/>
              </w:rPr>
              <w:t xml:space="preserve"> for a </w:t>
            </w:r>
            <w:proofErr w:type="spellStart"/>
            <w:r w:rsidRPr="007069D0">
              <w:rPr>
                <w:rFonts w:ascii="Times New Roman" w:hAnsi="Times New Roman" w:cs="Times New Roman"/>
                <w:sz w:val="24"/>
                <w:szCs w:val="24"/>
              </w:rPr>
              <w:t>smart</w:t>
            </w:r>
            <w:proofErr w:type="spellEnd"/>
            <w:r w:rsidRPr="007069D0">
              <w:rPr>
                <w:rFonts w:ascii="Times New Roman" w:hAnsi="Times New Roman" w:cs="Times New Roman"/>
                <w:sz w:val="24"/>
                <w:szCs w:val="24"/>
              </w:rPr>
              <w:t xml:space="preserve"> School)</w:t>
            </w:r>
          </w:p>
        </w:tc>
      </w:tr>
      <w:tr w:rsidR="00B67A0C" w:rsidRPr="007069D0" w:rsidTr="00611116">
        <w:trPr>
          <w:trHeight w:val="397"/>
        </w:trPr>
        <w:tc>
          <w:tcPr>
            <w:tcW w:w="4219" w:type="dxa"/>
          </w:tcPr>
          <w:p w:rsidR="00B67A0C" w:rsidRPr="007069D0" w:rsidRDefault="00B67A0C" w:rsidP="0057528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Katılımcı Kurum/Kuruluş:</w:t>
            </w:r>
          </w:p>
        </w:tc>
        <w:tc>
          <w:tcPr>
            <w:tcW w:w="4820" w:type="dxa"/>
          </w:tcPr>
          <w:p w:rsidR="00B67A0C" w:rsidRPr="007069D0" w:rsidRDefault="00B67A0C" w:rsidP="0057528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Ankara Milli Eğitim Müdürlüğü</w:t>
            </w:r>
          </w:p>
        </w:tc>
      </w:tr>
      <w:tr w:rsidR="00B67A0C" w:rsidRPr="007069D0" w:rsidTr="00611116">
        <w:trPr>
          <w:trHeight w:val="397"/>
        </w:trPr>
        <w:tc>
          <w:tcPr>
            <w:tcW w:w="4219" w:type="dxa"/>
          </w:tcPr>
          <w:p w:rsidR="00B67A0C" w:rsidRPr="007069D0" w:rsidRDefault="00B67A0C" w:rsidP="0057528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Tahmini Başlangıç Zamanı:</w:t>
            </w:r>
          </w:p>
        </w:tc>
        <w:tc>
          <w:tcPr>
            <w:tcW w:w="4820" w:type="dxa"/>
          </w:tcPr>
          <w:p w:rsidR="00B67A0C" w:rsidRPr="007069D0" w:rsidRDefault="00B67A0C" w:rsidP="0057528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2012</w:t>
            </w:r>
          </w:p>
        </w:tc>
      </w:tr>
      <w:tr w:rsidR="00B67A0C" w:rsidRPr="007069D0" w:rsidTr="00611116">
        <w:trPr>
          <w:trHeight w:val="397"/>
        </w:trPr>
        <w:tc>
          <w:tcPr>
            <w:tcW w:w="4219" w:type="dxa"/>
          </w:tcPr>
          <w:p w:rsidR="00B67A0C" w:rsidRPr="007069D0" w:rsidRDefault="00B67A0C" w:rsidP="0057528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Süresi:</w:t>
            </w:r>
          </w:p>
        </w:tc>
        <w:tc>
          <w:tcPr>
            <w:tcW w:w="4820" w:type="dxa"/>
          </w:tcPr>
          <w:p w:rsidR="00B67A0C" w:rsidRPr="007069D0" w:rsidRDefault="00B67A0C" w:rsidP="0057528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36 Ay</w:t>
            </w:r>
          </w:p>
        </w:tc>
      </w:tr>
      <w:tr w:rsidR="00B67A0C" w:rsidRPr="007069D0" w:rsidTr="00611116">
        <w:trPr>
          <w:trHeight w:val="397"/>
        </w:trPr>
        <w:tc>
          <w:tcPr>
            <w:tcW w:w="4219" w:type="dxa"/>
          </w:tcPr>
          <w:p w:rsidR="00B67A0C" w:rsidRPr="007069D0" w:rsidRDefault="00B67A0C" w:rsidP="0057528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İlgili Olduğu Konu Başlığı:</w:t>
            </w:r>
          </w:p>
        </w:tc>
        <w:tc>
          <w:tcPr>
            <w:tcW w:w="4820" w:type="dxa"/>
          </w:tcPr>
          <w:p w:rsidR="00B67A0C" w:rsidRPr="007069D0" w:rsidRDefault="00B67A0C" w:rsidP="0057528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 xml:space="preserve">Tema 1 – Düşük Karbon Ekonomisi ve Akıllı </w:t>
            </w:r>
            <w:proofErr w:type="spellStart"/>
            <w:r w:rsidRPr="007069D0">
              <w:rPr>
                <w:rFonts w:ascii="Times New Roman" w:hAnsi="Times New Roman" w:cs="Times New Roman"/>
                <w:sz w:val="24"/>
                <w:szCs w:val="24"/>
              </w:rPr>
              <w:t>Mobilite</w:t>
            </w:r>
            <w:proofErr w:type="spellEnd"/>
            <w:r w:rsidRPr="007069D0">
              <w:rPr>
                <w:rFonts w:ascii="Times New Roman" w:hAnsi="Times New Roman" w:cs="Times New Roman"/>
                <w:sz w:val="24"/>
                <w:szCs w:val="24"/>
              </w:rPr>
              <w:t xml:space="preserve"> için Bilgi ve İletişim Teknolojileri (BİT)</w:t>
            </w:r>
          </w:p>
        </w:tc>
      </w:tr>
      <w:tr w:rsidR="00B67A0C" w:rsidRPr="007069D0" w:rsidTr="00B67A0C">
        <w:trPr>
          <w:trHeight w:val="397"/>
        </w:trPr>
        <w:tc>
          <w:tcPr>
            <w:tcW w:w="9039" w:type="dxa"/>
            <w:gridSpan w:val="2"/>
          </w:tcPr>
          <w:p w:rsidR="00B67A0C" w:rsidRPr="007069D0" w:rsidRDefault="00575289" w:rsidP="00575289">
            <w:pPr>
              <w:spacing w:line="276" w:lineRule="auto"/>
              <w:jc w:val="both"/>
              <w:rPr>
                <w:rFonts w:ascii="Times New Roman" w:hAnsi="Times New Roman" w:cs="Times New Roman"/>
                <w:sz w:val="24"/>
                <w:szCs w:val="24"/>
              </w:rPr>
            </w:pPr>
            <w:r w:rsidRPr="007069D0">
              <w:rPr>
                <w:rFonts w:ascii="Times New Roman" w:hAnsi="Times New Roman" w:cs="Times New Roman"/>
                <w:b/>
                <w:sz w:val="24"/>
                <w:szCs w:val="24"/>
              </w:rPr>
              <w:t>ÖZET:</w:t>
            </w:r>
            <w:r w:rsidRPr="007069D0">
              <w:rPr>
                <w:rFonts w:ascii="Times New Roman" w:hAnsi="Times New Roman" w:cs="Times New Roman"/>
                <w:sz w:val="24"/>
                <w:szCs w:val="24"/>
              </w:rPr>
              <w:t xml:space="preserve"> </w:t>
            </w:r>
            <w:r w:rsidR="00B67A0C" w:rsidRPr="007069D0">
              <w:rPr>
                <w:rFonts w:ascii="Times New Roman" w:hAnsi="Times New Roman" w:cs="Times New Roman"/>
                <w:sz w:val="24"/>
                <w:szCs w:val="24"/>
              </w:rPr>
              <w:t xml:space="preserve">Bu projeyle, Avrupa Birliği’ndeki okullar için enerji tasarrufu stratejileri ve BİT çözümlerinin geliştirilmesi amaçlanmaktadır. Akıllı LED aydınlatma, akıllı sayaçlar, enerji yönetim sistemleri, enerji </w:t>
            </w:r>
            <w:proofErr w:type="gramStart"/>
            <w:r w:rsidR="00B67A0C" w:rsidRPr="007069D0">
              <w:rPr>
                <w:rFonts w:ascii="Times New Roman" w:hAnsi="Times New Roman" w:cs="Times New Roman"/>
                <w:sz w:val="24"/>
                <w:szCs w:val="24"/>
              </w:rPr>
              <w:t>simülasyon</w:t>
            </w:r>
            <w:proofErr w:type="gramEnd"/>
            <w:r w:rsidR="00B67A0C" w:rsidRPr="007069D0">
              <w:rPr>
                <w:rFonts w:ascii="Times New Roman" w:hAnsi="Times New Roman" w:cs="Times New Roman"/>
                <w:sz w:val="24"/>
                <w:szCs w:val="24"/>
              </w:rPr>
              <w:t xml:space="preserve"> yazılımı ve “enerji eylem yönetim yazılımı (</w:t>
            </w:r>
            <w:proofErr w:type="spellStart"/>
            <w:r w:rsidR="00B67A0C" w:rsidRPr="007069D0">
              <w:rPr>
                <w:rFonts w:ascii="Times New Roman" w:hAnsi="Times New Roman" w:cs="Times New Roman"/>
                <w:sz w:val="24"/>
                <w:szCs w:val="24"/>
              </w:rPr>
              <w:t>energy</w:t>
            </w:r>
            <w:proofErr w:type="spellEnd"/>
            <w:r w:rsidR="00B67A0C" w:rsidRPr="007069D0">
              <w:rPr>
                <w:rFonts w:ascii="Times New Roman" w:hAnsi="Times New Roman" w:cs="Times New Roman"/>
                <w:sz w:val="24"/>
                <w:szCs w:val="24"/>
              </w:rPr>
              <w:t xml:space="preserve"> </w:t>
            </w:r>
            <w:proofErr w:type="spellStart"/>
            <w:r w:rsidR="00B67A0C" w:rsidRPr="007069D0">
              <w:rPr>
                <w:rFonts w:ascii="Times New Roman" w:hAnsi="Times New Roman" w:cs="Times New Roman"/>
                <w:sz w:val="24"/>
                <w:szCs w:val="24"/>
              </w:rPr>
              <w:t>action</w:t>
            </w:r>
            <w:proofErr w:type="spellEnd"/>
            <w:r w:rsidR="00B67A0C" w:rsidRPr="007069D0">
              <w:rPr>
                <w:rFonts w:ascii="Times New Roman" w:hAnsi="Times New Roman" w:cs="Times New Roman"/>
                <w:sz w:val="24"/>
                <w:szCs w:val="24"/>
              </w:rPr>
              <w:t xml:space="preserve"> </w:t>
            </w:r>
            <w:proofErr w:type="spellStart"/>
            <w:r w:rsidR="00B67A0C" w:rsidRPr="007069D0">
              <w:rPr>
                <w:rFonts w:ascii="Times New Roman" w:hAnsi="Times New Roman" w:cs="Times New Roman"/>
                <w:sz w:val="24"/>
                <w:szCs w:val="24"/>
              </w:rPr>
              <w:t>management</w:t>
            </w:r>
            <w:proofErr w:type="spellEnd"/>
            <w:r w:rsidR="00B67A0C" w:rsidRPr="007069D0">
              <w:rPr>
                <w:rFonts w:ascii="Times New Roman" w:hAnsi="Times New Roman" w:cs="Times New Roman"/>
                <w:sz w:val="24"/>
                <w:szCs w:val="24"/>
              </w:rPr>
              <w:t xml:space="preserve"> software)” gibi yenilikçi yöntemlerin kullanılacağı projede</w:t>
            </w:r>
            <w:r w:rsidRPr="007069D0">
              <w:rPr>
                <w:rFonts w:ascii="Times New Roman" w:hAnsi="Times New Roman" w:cs="Times New Roman"/>
                <w:sz w:val="24"/>
                <w:szCs w:val="24"/>
              </w:rPr>
              <w:t xml:space="preserve"> yapılacak çalışmalar ISO50001 ve IPMVP (International </w:t>
            </w:r>
            <w:proofErr w:type="spellStart"/>
            <w:r w:rsidRPr="007069D0">
              <w:rPr>
                <w:rFonts w:ascii="Times New Roman" w:hAnsi="Times New Roman" w:cs="Times New Roman"/>
                <w:sz w:val="24"/>
                <w:szCs w:val="24"/>
              </w:rPr>
              <w:t>Performance</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Measurement</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and</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Verification</w:t>
            </w:r>
            <w:proofErr w:type="spellEnd"/>
            <w:r w:rsidRPr="007069D0">
              <w:rPr>
                <w:rFonts w:ascii="Times New Roman" w:hAnsi="Times New Roman" w:cs="Times New Roman"/>
                <w:sz w:val="24"/>
                <w:szCs w:val="24"/>
              </w:rPr>
              <w:t xml:space="preserve"> Protocol) çerçevesinde yürütülecektir. </w:t>
            </w:r>
            <w:proofErr w:type="spellStart"/>
            <w:r w:rsidRPr="007069D0">
              <w:rPr>
                <w:rFonts w:ascii="Times New Roman" w:hAnsi="Times New Roman" w:cs="Times New Roman"/>
                <w:sz w:val="24"/>
                <w:szCs w:val="24"/>
              </w:rPr>
              <w:t>VERYSchool</w:t>
            </w:r>
            <w:proofErr w:type="spellEnd"/>
            <w:r w:rsidRPr="007069D0">
              <w:rPr>
                <w:rFonts w:ascii="Times New Roman" w:hAnsi="Times New Roman" w:cs="Times New Roman"/>
                <w:sz w:val="24"/>
                <w:szCs w:val="24"/>
              </w:rPr>
              <w:t xml:space="preserve"> projesi farklı özellikteki okullara sahip 4 farklı coğrafyada yer alan pilot alanlarda uygulanacaktır. Projede, ülkemizin yanı sıra İtalya, Macaristan, Bulgaristan, İrlanda, Portekiz, Birleşik Krallık, Sırbistan ve Belçika’dan</w:t>
            </w:r>
            <w:r w:rsidR="00B67A0C" w:rsidRPr="007069D0">
              <w:rPr>
                <w:rFonts w:ascii="Times New Roman" w:hAnsi="Times New Roman" w:cs="Times New Roman"/>
                <w:sz w:val="24"/>
                <w:szCs w:val="24"/>
              </w:rPr>
              <w:t xml:space="preserve"> </w:t>
            </w:r>
            <w:r w:rsidRPr="007069D0">
              <w:rPr>
                <w:rFonts w:ascii="Times New Roman" w:hAnsi="Times New Roman" w:cs="Times New Roman"/>
                <w:sz w:val="24"/>
                <w:szCs w:val="24"/>
              </w:rPr>
              <w:t>ortaklar yer almaktadır.</w:t>
            </w:r>
            <w:r w:rsidR="00B67A0C" w:rsidRPr="007069D0">
              <w:rPr>
                <w:rFonts w:ascii="Times New Roman" w:hAnsi="Times New Roman" w:cs="Times New Roman"/>
                <w:sz w:val="24"/>
                <w:szCs w:val="24"/>
              </w:rPr>
              <w:t xml:space="preserve">  </w:t>
            </w:r>
          </w:p>
        </w:tc>
      </w:tr>
    </w:tbl>
    <w:p w:rsidR="00920D0D" w:rsidRDefault="00920D0D">
      <w:pPr>
        <w:rPr>
          <w:rFonts w:ascii="Times New Roman" w:hAnsi="Times New Roman" w:cs="Times New Roman"/>
          <w:sz w:val="24"/>
          <w:szCs w:val="24"/>
        </w:rPr>
      </w:pPr>
    </w:p>
    <w:p w:rsidR="00920D0D" w:rsidRDefault="00920D0D">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0" w:type="auto"/>
        <w:tblLook w:val="04A0" w:firstRow="1" w:lastRow="0" w:firstColumn="1" w:lastColumn="0" w:noHBand="0" w:noVBand="1"/>
      </w:tblPr>
      <w:tblGrid>
        <w:gridCol w:w="4219"/>
        <w:gridCol w:w="5069"/>
      </w:tblGrid>
      <w:tr w:rsidR="00575289" w:rsidRPr="007069D0" w:rsidTr="00611116">
        <w:trPr>
          <w:trHeight w:val="397"/>
        </w:trPr>
        <w:tc>
          <w:tcPr>
            <w:tcW w:w="4219" w:type="dxa"/>
          </w:tcPr>
          <w:p w:rsidR="00575289" w:rsidRPr="007069D0" w:rsidRDefault="00575289"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 Adı:</w:t>
            </w:r>
          </w:p>
        </w:tc>
        <w:tc>
          <w:tcPr>
            <w:tcW w:w="5069" w:type="dxa"/>
          </w:tcPr>
          <w:p w:rsidR="00575289" w:rsidRPr="007069D0" w:rsidRDefault="00575289"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 xml:space="preserve">OASIS – </w:t>
            </w:r>
            <w:proofErr w:type="spellStart"/>
            <w:r w:rsidRPr="007069D0">
              <w:rPr>
                <w:rFonts w:ascii="Times New Roman" w:hAnsi="Times New Roman" w:cs="Times New Roman"/>
                <w:sz w:val="24"/>
                <w:szCs w:val="24"/>
              </w:rPr>
              <w:t>Openly</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Accessible</w:t>
            </w:r>
            <w:proofErr w:type="spellEnd"/>
            <w:r w:rsidRPr="007069D0">
              <w:rPr>
                <w:rFonts w:ascii="Times New Roman" w:hAnsi="Times New Roman" w:cs="Times New Roman"/>
                <w:sz w:val="24"/>
                <w:szCs w:val="24"/>
              </w:rPr>
              <w:t xml:space="preserve"> Services </w:t>
            </w:r>
            <w:proofErr w:type="spellStart"/>
            <w:r w:rsidRPr="007069D0">
              <w:rPr>
                <w:rFonts w:ascii="Times New Roman" w:hAnsi="Times New Roman" w:cs="Times New Roman"/>
                <w:sz w:val="24"/>
                <w:szCs w:val="24"/>
              </w:rPr>
              <w:t>and</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Interacting</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Society</w:t>
            </w:r>
            <w:proofErr w:type="spellEnd"/>
          </w:p>
        </w:tc>
      </w:tr>
      <w:tr w:rsidR="00575289" w:rsidRPr="007069D0" w:rsidTr="00611116">
        <w:trPr>
          <w:trHeight w:val="397"/>
        </w:trPr>
        <w:tc>
          <w:tcPr>
            <w:tcW w:w="4219" w:type="dxa"/>
          </w:tcPr>
          <w:p w:rsidR="00575289" w:rsidRPr="007069D0" w:rsidRDefault="00575289"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Katılımcı Kurum/Kuruluş:</w:t>
            </w:r>
          </w:p>
        </w:tc>
        <w:tc>
          <w:tcPr>
            <w:tcW w:w="5069" w:type="dxa"/>
          </w:tcPr>
          <w:p w:rsidR="00575289" w:rsidRPr="007069D0" w:rsidRDefault="00575289"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Doğu Marmara Kalkınma Ajansı</w:t>
            </w:r>
          </w:p>
        </w:tc>
      </w:tr>
      <w:tr w:rsidR="00575289" w:rsidRPr="007069D0" w:rsidTr="00611116">
        <w:trPr>
          <w:trHeight w:val="397"/>
        </w:trPr>
        <w:tc>
          <w:tcPr>
            <w:tcW w:w="4219" w:type="dxa"/>
          </w:tcPr>
          <w:p w:rsidR="00575289" w:rsidRPr="007069D0" w:rsidRDefault="00575289"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Tahmini Başlangıç Zamanı:</w:t>
            </w:r>
          </w:p>
        </w:tc>
        <w:tc>
          <w:tcPr>
            <w:tcW w:w="5069" w:type="dxa"/>
          </w:tcPr>
          <w:p w:rsidR="00575289" w:rsidRPr="007069D0" w:rsidRDefault="00575289"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2012</w:t>
            </w:r>
          </w:p>
        </w:tc>
      </w:tr>
      <w:tr w:rsidR="00575289" w:rsidRPr="007069D0" w:rsidTr="00611116">
        <w:trPr>
          <w:trHeight w:val="397"/>
        </w:trPr>
        <w:tc>
          <w:tcPr>
            <w:tcW w:w="4219" w:type="dxa"/>
          </w:tcPr>
          <w:p w:rsidR="00575289" w:rsidRPr="007069D0" w:rsidRDefault="00575289"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Süresi:</w:t>
            </w:r>
          </w:p>
        </w:tc>
        <w:tc>
          <w:tcPr>
            <w:tcW w:w="5069" w:type="dxa"/>
          </w:tcPr>
          <w:p w:rsidR="00575289" w:rsidRPr="007069D0" w:rsidRDefault="00575289"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36 Ay</w:t>
            </w:r>
          </w:p>
        </w:tc>
      </w:tr>
      <w:tr w:rsidR="00575289" w:rsidRPr="007069D0" w:rsidTr="00611116">
        <w:trPr>
          <w:trHeight w:val="397"/>
        </w:trPr>
        <w:tc>
          <w:tcPr>
            <w:tcW w:w="4219" w:type="dxa"/>
          </w:tcPr>
          <w:p w:rsidR="00575289" w:rsidRPr="007069D0" w:rsidRDefault="00575289"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İlgili Olduğu Konu Başlığı:</w:t>
            </w:r>
          </w:p>
        </w:tc>
        <w:tc>
          <w:tcPr>
            <w:tcW w:w="5069" w:type="dxa"/>
          </w:tcPr>
          <w:p w:rsidR="00575289" w:rsidRPr="007069D0" w:rsidRDefault="00575289" w:rsidP="0057528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Tema 4 – Yenilikçi Devlet ve Kamu Hizmetleri</w:t>
            </w:r>
          </w:p>
        </w:tc>
      </w:tr>
      <w:tr w:rsidR="00575289" w:rsidRPr="007069D0" w:rsidTr="00611116">
        <w:trPr>
          <w:trHeight w:val="397"/>
        </w:trPr>
        <w:tc>
          <w:tcPr>
            <w:tcW w:w="9288" w:type="dxa"/>
            <w:gridSpan w:val="2"/>
          </w:tcPr>
          <w:p w:rsidR="00575289" w:rsidRPr="007069D0" w:rsidRDefault="00575289" w:rsidP="00057C87">
            <w:pPr>
              <w:spacing w:line="276" w:lineRule="auto"/>
              <w:jc w:val="both"/>
              <w:rPr>
                <w:rFonts w:ascii="Times New Roman" w:hAnsi="Times New Roman" w:cs="Times New Roman"/>
                <w:sz w:val="24"/>
                <w:szCs w:val="24"/>
              </w:rPr>
            </w:pPr>
            <w:r w:rsidRPr="007069D0">
              <w:rPr>
                <w:rFonts w:ascii="Times New Roman" w:hAnsi="Times New Roman" w:cs="Times New Roman"/>
                <w:b/>
                <w:sz w:val="24"/>
                <w:szCs w:val="24"/>
              </w:rPr>
              <w:t>ÖZET:</w:t>
            </w:r>
            <w:r w:rsidRPr="007069D0">
              <w:rPr>
                <w:rFonts w:ascii="Times New Roman" w:hAnsi="Times New Roman" w:cs="Times New Roman"/>
                <w:sz w:val="24"/>
                <w:szCs w:val="24"/>
              </w:rPr>
              <w:t xml:space="preserve"> </w:t>
            </w:r>
            <w:r w:rsidR="000142DE" w:rsidRPr="007069D0">
              <w:rPr>
                <w:rFonts w:ascii="Times New Roman" w:hAnsi="Times New Roman" w:cs="Times New Roman"/>
                <w:sz w:val="24"/>
                <w:szCs w:val="24"/>
              </w:rPr>
              <w:t>Bu projeyle, yerel yönetimler tarafından internet üzerinden sunulan bilgi ve hizmetlere kullanıcı odaklı bir portal üzerinden erişim sağlamak amaçlanmaktadır. Farklı hizmetlerin bir ortamda birleştirilmesiyle kamu kurumlarının vatandaş ve iş dünyası bilgilerini daha iyi kullanması ve kamu hizmetlerinin adaptasyonunu sağlaması hedeflenmekte olup, daha erişilebilir, daha kullanıcı odaklı, kamu kurumları tarafından daha etkin yürütülen ve daha ucuz hizmetlerin geliştirilmesi sağlanacaktır.</w:t>
            </w:r>
            <w:r w:rsidR="00EA465C" w:rsidRPr="007069D0">
              <w:rPr>
                <w:rFonts w:ascii="Times New Roman" w:hAnsi="Times New Roman" w:cs="Times New Roman"/>
                <w:sz w:val="24"/>
                <w:szCs w:val="24"/>
              </w:rPr>
              <w:t xml:space="preserve"> OASIS projesi gerçekleştirilirken, bulut mimarisi kullanılan açık platformlar ve açık standartlardan faydalanılacaktır. Pilot kapsamında vatandaşlar, kamu kurumları ve iş dünyası</w:t>
            </w:r>
            <w:r w:rsidR="00057C87" w:rsidRPr="007069D0">
              <w:rPr>
                <w:rFonts w:ascii="Times New Roman" w:hAnsi="Times New Roman" w:cs="Times New Roman"/>
                <w:sz w:val="24"/>
                <w:szCs w:val="24"/>
              </w:rPr>
              <w:t>na yönelik</w:t>
            </w:r>
            <w:r w:rsidR="00EA465C" w:rsidRPr="007069D0">
              <w:rPr>
                <w:rFonts w:ascii="Times New Roman" w:hAnsi="Times New Roman" w:cs="Times New Roman"/>
                <w:sz w:val="24"/>
                <w:szCs w:val="24"/>
              </w:rPr>
              <w:t xml:space="preserve"> 10 farklı uygulamaya odaklanılacak olup, bu uygulamalar 5 farklı pilot bölgede 12 ay boyunca uygulanacaktır. Projede, ülkemizin yanı sıra Fransa, İtalya, Bulgaristan, Birleşik Krallık ve İspanya’dan ortaklar yer almaktadır. </w:t>
            </w:r>
          </w:p>
        </w:tc>
      </w:tr>
    </w:tbl>
    <w:p w:rsidR="002322FF" w:rsidRPr="007069D0" w:rsidRDefault="002322F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9"/>
        <w:gridCol w:w="4820"/>
      </w:tblGrid>
      <w:tr w:rsidR="001D37CE" w:rsidRPr="007069D0" w:rsidTr="00611116">
        <w:trPr>
          <w:trHeight w:val="397"/>
        </w:trPr>
        <w:tc>
          <w:tcPr>
            <w:tcW w:w="4219" w:type="dxa"/>
          </w:tcPr>
          <w:p w:rsidR="001D37CE" w:rsidRPr="007069D0" w:rsidRDefault="001D37CE"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 Adı:</w:t>
            </w:r>
          </w:p>
        </w:tc>
        <w:tc>
          <w:tcPr>
            <w:tcW w:w="4820" w:type="dxa"/>
          </w:tcPr>
          <w:p w:rsidR="001D37CE" w:rsidRPr="007069D0" w:rsidRDefault="001D37CE"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 xml:space="preserve">PALANTE – </w:t>
            </w:r>
            <w:proofErr w:type="spellStart"/>
            <w:r w:rsidRPr="007069D0">
              <w:rPr>
                <w:rFonts w:ascii="Times New Roman" w:hAnsi="Times New Roman" w:cs="Times New Roman"/>
                <w:sz w:val="24"/>
                <w:szCs w:val="24"/>
              </w:rPr>
              <w:t>Patient</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Leading</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and</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mANaging</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their</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healThcare</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through</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EHealth</w:t>
            </w:r>
            <w:proofErr w:type="spellEnd"/>
          </w:p>
        </w:tc>
      </w:tr>
      <w:tr w:rsidR="001D37CE" w:rsidRPr="007069D0" w:rsidTr="00611116">
        <w:trPr>
          <w:trHeight w:val="397"/>
        </w:trPr>
        <w:tc>
          <w:tcPr>
            <w:tcW w:w="4219" w:type="dxa"/>
          </w:tcPr>
          <w:p w:rsidR="001D37CE" w:rsidRPr="007069D0" w:rsidRDefault="001D37CE"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Katılımcı Kurum/Kuruluşlar:</w:t>
            </w:r>
          </w:p>
        </w:tc>
        <w:tc>
          <w:tcPr>
            <w:tcW w:w="4820" w:type="dxa"/>
          </w:tcPr>
          <w:p w:rsidR="001D37CE" w:rsidRPr="007069D0" w:rsidRDefault="001D37CE"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Sağlık Bakanlığı</w:t>
            </w:r>
          </w:p>
          <w:p w:rsidR="001D37CE" w:rsidRPr="007069D0" w:rsidRDefault="001D37CE"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SRDC Ltd. Şti.</w:t>
            </w:r>
          </w:p>
          <w:p w:rsidR="001D37CE" w:rsidRPr="007069D0" w:rsidRDefault="001D37CE"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Türkiye Romatizma Araştırma ve Savaş Derneği</w:t>
            </w:r>
          </w:p>
        </w:tc>
      </w:tr>
      <w:tr w:rsidR="001D37CE" w:rsidRPr="007069D0" w:rsidTr="00611116">
        <w:trPr>
          <w:trHeight w:val="397"/>
        </w:trPr>
        <w:tc>
          <w:tcPr>
            <w:tcW w:w="4219" w:type="dxa"/>
          </w:tcPr>
          <w:p w:rsidR="001D37CE" w:rsidRPr="007069D0" w:rsidRDefault="001D37CE"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Tahmini Başlangıç Zamanı:</w:t>
            </w:r>
          </w:p>
        </w:tc>
        <w:tc>
          <w:tcPr>
            <w:tcW w:w="4820" w:type="dxa"/>
          </w:tcPr>
          <w:p w:rsidR="001D37CE" w:rsidRPr="007069D0" w:rsidRDefault="001D37CE"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2012</w:t>
            </w:r>
          </w:p>
        </w:tc>
      </w:tr>
      <w:tr w:rsidR="001D37CE" w:rsidRPr="007069D0" w:rsidTr="00611116">
        <w:trPr>
          <w:trHeight w:val="397"/>
        </w:trPr>
        <w:tc>
          <w:tcPr>
            <w:tcW w:w="4219" w:type="dxa"/>
          </w:tcPr>
          <w:p w:rsidR="001D37CE" w:rsidRPr="007069D0" w:rsidRDefault="001D37CE"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Süresi:</w:t>
            </w:r>
          </w:p>
        </w:tc>
        <w:tc>
          <w:tcPr>
            <w:tcW w:w="4820" w:type="dxa"/>
          </w:tcPr>
          <w:p w:rsidR="001D37CE" w:rsidRPr="007069D0" w:rsidRDefault="001D37CE"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36 Ay</w:t>
            </w:r>
          </w:p>
        </w:tc>
      </w:tr>
      <w:tr w:rsidR="001D37CE" w:rsidRPr="007069D0" w:rsidTr="00611116">
        <w:trPr>
          <w:trHeight w:val="397"/>
        </w:trPr>
        <w:tc>
          <w:tcPr>
            <w:tcW w:w="4219" w:type="dxa"/>
          </w:tcPr>
          <w:p w:rsidR="001D37CE" w:rsidRPr="007069D0" w:rsidRDefault="001D37CE"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İlgili Olduğu Konu Başlığı:</w:t>
            </w:r>
          </w:p>
        </w:tc>
        <w:tc>
          <w:tcPr>
            <w:tcW w:w="4820" w:type="dxa"/>
          </w:tcPr>
          <w:p w:rsidR="001D37CE" w:rsidRPr="007069D0" w:rsidRDefault="001D37CE" w:rsidP="001D37CE">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Tema 3 – Sağlık Yaşlanma ve İçerme için Bilgi ve İletişim Teknolojileri</w:t>
            </w:r>
          </w:p>
        </w:tc>
      </w:tr>
      <w:tr w:rsidR="001D37CE" w:rsidRPr="007069D0" w:rsidTr="00F51209">
        <w:trPr>
          <w:trHeight w:val="397"/>
        </w:trPr>
        <w:tc>
          <w:tcPr>
            <w:tcW w:w="9039" w:type="dxa"/>
            <w:gridSpan w:val="2"/>
          </w:tcPr>
          <w:p w:rsidR="001D37CE" w:rsidRPr="007069D0" w:rsidRDefault="001D37CE" w:rsidP="00057C87">
            <w:pPr>
              <w:spacing w:line="276" w:lineRule="auto"/>
              <w:jc w:val="both"/>
              <w:rPr>
                <w:rFonts w:ascii="Times New Roman" w:hAnsi="Times New Roman" w:cs="Times New Roman"/>
                <w:sz w:val="24"/>
                <w:szCs w:val="24"/>
              </w:rPr>
            </w:pPr>
            <w:r w:rsidRPr="007069D0">
              <w:rPr>
                <w:rFonts w:ascii="Times New Roman" w:hAnsi="Times New Roman" w:cs="Times New Roman"/>
                <w:b/>
                <w:sz w:val="24"/>
                <w:szCs w:val="24"/>
              </w:rPr>
              <w:t>ÖZET:</w:t>
            </w:r>
            <w:r w:rsidRPr="007069D0">
              <w:rPr>
                <w:rFonts w:ascii="Times New Roman" w:hAnsi="Times New Roman" w:cs="Times New Roman"/>
                <w:sz w:val="24"/>
                <w:szCs w:val="24"/>
              </w:rPr>
              <w:t xml:space="preserve"> Bu projeyle, “hastaların yetkilendirilmesi” konusunun sağlık maliyetlerinin düşürülmesi ve sağlık sisteminin verimliliğinin artırılmasında araç olarak kullanılması amaçlanmaktadır. Hastaların yetkilendirilmesi, AB sağlık </w:t>
            </w:r>
            <w:r w:rsidR="00401192" w:rsidRPr="007069D0">
              <w:rPr>
                <w:rFonts w:ascii="Times New Roman" w:hAnsi="Times New Roman" w:cs="Times New Roman"/>
                <w:sz w:val="24"/>
                <w:szCs w:val="24"/>
              </w:rPr>
              <w:t xml:space="preserve">stratejisinde yüksek öncelikli bir konu olarak ön plana </w:t>
            </w:r>
            <w:r w:rsidR="00057C87" w:rsidRPr="007069D0">
              <w:rPr>
                <w:rFonts w:ascii="Times New Roman" w:hAnsi="Times New Roman" w:cs="Times New Roman"/>
                <w:sz w:val="24"/>
                <w:szCs w:val="24"/>
              </w:rPr>
              <w:t>çıkmış</w:t>
            </w:r>
            <w:r w:rsidR="00401192" w:rsidRPr="007069D0">
              <w:rPr>
                <w:rFonts w:ascii="Times New Roman" w:hAnsi="Times New Roman" w:cs="Times New Roman"/>
                <w:sz w:val="24"/>
                <w:szCs w:val="24"/>
              </w:rPr>
              <w:t xml:space="preserve"> olup, ulusal ve bölgesel otoriteler tarafından desteklenmektedir. PALANTE projesi, mevcut e-sağlık platformları ve hizmetleri kullanılarak ve sağlık verilerinin mahremiyeti gözetilerek, 7 farklı pilot çalışmanın uygulanması, genişletilmesi ve </w:t>
            </w:r>
            <w:proofErr w:type="gramStart"/>
            <w:r w:rsidR="00401192" w:rsidRPr="007069D0">
              <w:rPr>
                <w:rFonts w:ascii="Times New Roman" w:hAnsi="Times New Roman" w:cs="Times New Roman"/>
                <w:sz w:val="24"/>
                <w:szCs w:val="24"/>
              </w:rPr>
              <w:t>optimizasyonunu</w:t>
            </w:r>
            <w:proofErr w:type="gramEnd"/>
            <w:r w:rsidR="00401192" w:rsidRPr="007069D0">
              <w:rPr>
                <w:rFonts w:ascii="Times New Roman" w:hAnsi="Times New Roman" w:cs="Times New Roman"/>
                <w:sz w:val="24"/>
                <w:szCs w:val="24"/>
              </w:rPr>
              <w:t xml:space="preserve"> amaçlamaktadır. Bu projenin esas amacı, hastaların yetkilendirilerek bilgi ve iletişim teknolojileri sayesinde kendi sağlıklarını ilgilendiren kararlarda aktif rol almaları ve sağlık birimleriyle işbirliği içinde yer almalarını sağlamaktadır. Proje kapsamında, 6 farklı ülkede 7 farklı pilot alanda uygulamalar gerçekleştirilip test edilecektir. Projede, ülkemizin yanı sıra İspanya, İtalya, Norveç, Almanya, Avusturya, Çek Cumhuriyeti, İrlanda, Fransa ve Danimarka’dan 18 ortak yer almaktadır.</w:t>
            </w:r>
          </w:p>
        </w:tc>
      </w:tr>
    </w:tbl>
    <w:p w:rsidR="004A3595" w:rsidRDefault="004A359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9"/>
        <w:gridCol w:w="4820"/>
      </w:tblGrid>
      <w:tr w:rsidR="00611116" w:rsidRPr="007069D0" w:rsidTr="00611116">
        <w:trPr>
          <w:trHeight w:val="397"/>
        </w:trPr>
        <w:tc>
          <w:tcPr>
            <w:tcW w:w="4219" w:type="dxa"/>
          </w:tcPr>
          <w:p w:rsidR="00611116" w:rsidRPr="007069D0" w:rsidRDefault="00611116"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 Adı:</w:t>
            </w:r>
          </w:p>
        </w:tc>
        <w:tc>
          <w:tcPr>
            <w:tcW w:w="4820" w:type="dxa"/>
          </w:tcPr>
          <w:p w:rsidR="00611116" w:rsidRPr="007069D0" w:rsidRDefault="00611116"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 xml:space="preserve">STORK </w:t>
            </w:r>
            <w:proofErr w:type="gramStart"/>
            <w:r w:rsidRPr="007069D0">
              <w:rPr>
                <w:rFonts w:ascii="Times New Roman" w:hAnsi="Times New Roman" w:cs="Times New Roman"/>
                <w:sz w:val="24"/>
                <w:szCs w:val="24"/>
              </w:rPr>
              <w:t>2.0</w:t>
            </w:r>
            <w:proofErr w:type="gramEnd"/>
            <w:r w:rsidRPr="007069D0">
              <w:rPr>
                <w:rFonts w:ascii="Times New Roman" w:hAnsi="Times New Roman" w:cs="Times New Roman"/>
                <w:sz w:val="24"/>
                <w:szCs w:val="24"/>
              </w:rPr>
              <w:t xml:space="preserve"> – </w:t>
            </w:r>
            <w:proofErr w:type="spellStart"/>
            <w:r w:rsidRPr="007069D0">
              <w:rPr>
                <w:rFonts w:ascii="Times New Roman" w:hAnsi="Times New Roman" w:cs="Times New Roman"/>
                <w:sz w:val="24"/>
                <w:szCs w:val="24"/>
              </w:rPr>
              <w:t>Secure</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idenTity</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acrOss</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boRders</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linKed</w:t>
            </w:r>
            <w:proofErr w:type="spellEnd"/>
            <w:r w:rsidRPr="007069D0">
              <w:rPr>
                <w:rFonts w:ascii="Times New Roman" w:hAnsi="Times New Roman" w:cs="Times New Roman"/>
                <w:sz w:val="24"/>
                <w:szCs w:val="24"/>
              </w:rPr>
              <w:t xml:space="preserve"> 2.0</w:t>
            </w:r>
          </w:p>
        </w:tc>
      </w:tr>
      <w:tr w:rsidR="00611116" w:rsidRPr="007069D0" w:rsidTr="00611116">
        <w:trPr>
          <w:trHeight w:val="397"/>
        </w:trPr>
        <w:tc>
          <w:tcPr>
            <w:tcW w:w="4219" w:type="dxa"/>
          </w:tcPr>
          <w:p w:rsidR="00611116" w:rsidRPr="007069D0" w:rsidRDefault="00611116"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Katılımcı Kurum/Kuruluşlar:</w:t>
            </w:r>
          </w:p>
        </w:tc>
        <w:tc>
          <w:tcPr>
            <w:tcW w:w="4820" w:type="dxa"/>
          </w:tcPr>
          <w:p w:rsidR="00611116" w:rsidRPr="007069D0" w:rsidRDefault="00611116"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TÜBİTAK</w:t>
            </w:r>
            <w:r w:rsidR="00920D0D">
              <w:rPr>
                <w:rFonts w:ascii="Times New Roman" w:hAnsi="Times New Roman" w:cs="Times New Roman"/>
                <w:sz w:val="24"/>
                <w:szCs w:val="24"/>
              </w:rPr>
              <w:t xml:space="preserve"> - BİLGEM</w:t>
            </w:r>
          </w:p>
          <w:p w:rsidR="00611116" w:rsidRPr="007069D0" w:rsidRDefault="00611116"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TÜRKSAT</w:t>
            </w:r>
          </w:p>
        </w:tc>
      </w:tr>
      <w:tr w:rsidR="00611116" w:rsidRPr="007069D0" w:rsidTr="00611116">
        <w:trPr>
          <w:trHeight w:val="397"/>
        </w:trPr>
        <w:tc>
          <w:tcPr>
            <w:tcW w:w="4219" w:type="dxa"/>
          </w:tcPr>
          <w:p w:rsidR="00611116" w:rsidRPr="007069D0" w:rsidRDefault="00611116"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Tahmini Başlangıç Zamanı:</w:t>
            </w:r>
          </w:p>
        </w:tc>
        <w:tc>
          <w:tcPr>
            <w:tcW w:w="4820" w:type="dxa"/>
          </w:tcPr>
          <w:p w:rsidR="00611116" w:rsidRPr="007069D0" w:rsidRDefault="00611116"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2012</w:t>
            </w:r>
          </w:p>
        </w:tc>
      </w:tr>
      <w:tr w:rsidR="00611116" w:rsidRPr="007069D0" w:rsidTr="00611116">
        <w:trPr>
          <w:trHeight w:val="397"/>
        </w:trPr>
        <w:tc>
          <w:tcPr>
            <w:tcW w:w="4219" w:type="dxa"/>
          </w:tcPr>
          <w:p w:rsidR="00611116" w:rsidRPr="007069D0" w:rsidRDefault="00611116"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Süresi:</w:t>
            </w:r>
          </w:p>
        </w:tc>
        <w:tc>
          <w:tcPr>
            <w:tcW w:w="4820" w:type="dxa"/>
          </w:tcPr>
          <w:p w:rsidR="00611116" w:rsidRPr="007069D0" w:rsidRDefault="00611116"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36 Ay</w:t>
            </w:r>
          </w:p>
        </w:tc>
      </w:tr>
      <w:tr w:rsidR="00611116" w:rsidRPr="007069D0" w:rsidTr="00611116">
        <w:trPr>
          <w:trHeight w:val="397"/>
        </w:trPr>
        <w:tc>
          <w:tcPr>
            <w:tcW w:w="4219" w:type="dxa"/>
          </w:tcPr>
          <w:p w:rsidR="00611116" w:rsidRPr="007069D0" w:rsidRDefault="00611116"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İlgili Olduğu Konu Başlığı:</w:t>
            </w:r>
          </w:p>
        </w:tc>
        <w:tc>
          <w:tcPr>
            <w:tcW w:w="4820" w:type="dxa"/>
          </w:tcPr>
          <w:p w:rsidR="00611116" w:rsidRPr="007069D0" w:rsidRDefault="00611116"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Tema 4 – Yenilikçi Devlet ve Kamu Hizmetleri</w:t>
            </w:r>
          </w:p>
        </w:tc>
      </w:tr>
      <w:tr w:rsidR="00611116" w:rsidRPr="007069D0" w:rsidTr="00F51209">
        <w:trPr>
          <w:trHeight w:val="397"/>
        </w:trPr>
        <w:tc>
          <w:tcPr>
            <w:tcW w:w="9039" w:type="dxa"/>
            <w:gridSpan w:val="2"/>
          </w:tcPr>
          <w:p w:rsidR="00611116" w:rsidRPr="007069D0" w:rsidRDefault="00611116" w:rsidP="00F51209">
            <w:pPr>
              <w:spacing w:line="276" w:lineRule="auto"/>
              <w:jc w:val="both"/>
              <w:rPr>
                <w:rFonts w:ascii="Times New Roman" w:hAnsi="Times New Roman" w:cs="Times New Roman"/>
                <w:sz w:val="24"/>
                <w:szCs w:val="24"/>
              </w:rPr>
            </w:pPr>
            <w:r w:rsidRPr="007069D0">
              <w:rPr>
                <w:rFonts w:ascii="Times New Roman" w:hAnsi="Times New Roman" w:cs="Times New Roman"/>
                <w:b/>
                <w:sz w:val="24"/>
                <w:szCs w:val="24"/>
              </w:rPr>
              <w:t>ÖZET:</w:t>
            </w:r>
            <w:r w:rsidRPr="007069D0">
              <w:rPr>
                <w:rFonts w:ascii="Times New Roman" w:hAnsi="Times New Roman" w:cs="Times New Roman"/>
                <w:sz w:val="24"/>
                <w:szCs w:val="24"/>
              </w:rPr>
              <w:t xml:space="preserve"> ICT PSP 2007 Yılı Çağrısı kapsamında desteklenen ve AB’nin temel e-kimlik projesi olan STORK projesinden elde edilen tecrübenin üzerine inşa edilen bu projeyle, kamu ve özel kesimin kimlik doğrulamasının sağlanması amacıyla bu kesimlerin operasyonel bir çerçeve ve altyapıda yakınsamaları amaçlanmaktadır. Proje kapsamında, verilerin güvenli bir şekilde saklanması ve paylaşımı esas alınacak olup, “e-Öğrenme ve akademik yeterlilikler”, “e-Bankacılık”, “İş dünyası için kamu hizmetleri” ve “e-Sağlık” konuları üzerinde pilot çalışmalar yürütülecektir. Bu çalışmalar kapsamında, birlikte çalışabilir gerçek hayat uygulamaları belirli ortak standartlar dikkate alınarak hayata geçirilecektir. </w:t>
            </w:r>
            <w:proofErr w:type="gramStart"/>
            <w:r w:rsidRPr="007069D0">
              <w:rPr>
                <w:rFonts w:ascii="Times New Roman" w:hAnsi="Times New Roman" w:cs="Times New Roman"/>
                <w:sz w:val="24"/>
                <w:szCs w:val="24"/>
              </w:rPr>
              <w:t xml:space="preserve">Avrupa Birliği’nde ICT PSP kapsamında yürütülmekte olan </w:t>
            </w:r>
            <w:proofErr w:type="spellStart"/>
            <w:r w:rsidRPr="007069D0">
              <w:rPr>
                <w:rFonts w:ascii="Times New Roman" w:hAnsi="Times New Roman" w:cs="Times New Roman"/>
                <w:sz w:val="24"/>
                <w:szCs w:val="24"/>
              </w:rPr>
              <w:t>epSOS</w:t>
            </w:r>
            <w:proofErr w:type="spellEnd"/>
            <w:r w:rsidRPr="007069D0">
              <w:rPr>
                <w:rFonts w:ascii="Times New Roman" w:hAnsi="Times New Roman" w:cs="Times New Roman"/>
                <w:sz w:val="24"/>
                <w:szCs w:val="24"/>
              </w:rPr>
              <w:t xml:space="preserve">, PEPPOL, SPOCS ve </w:t>
            </w:r>
            <w:proofErr w:type="spellStart"/>
            <w:r w:rsidRPr="007069D0">
              <w:rPr>
                <w:rFonts w:ascii="Times New Roman" w:hAnsi="Times New Roman" w:cs="Times New Roman"/>
                <w:sz w:val="24"/>
                <w:szCs w:val="24"/>
              </w:rPr>
              <w:t>eCODEX</w:t>
            </w:r>
            <w:proofErr w:type="spellEnd"/>
            <w:r w:rsidRPr="007069D0">
              <w:rPr>
                <w:rFonts w:ascii="Times New Roman" w:hAnsi="Times New Roman" w:cs="Times New Roman"/>
                <w:sz w:val="24"/>
                <w:szCs w:val="24"/>
              </w:rPr>
              <w:t xml:space="preserve"> gibi temel e-Sağlık ve e-Devlet projeleriyle yakın ilişkisi olan projede ülkemizin yanı sıra İspanya, Avusturya, Belçika, Çek Cumhuriyeti, Estonya, Fransa, Yunanistan, İzlanda, İtalya, Litvanya, Lüksemburg, Hollanda, Portekiz, Slovakya, Slovenya, İsveç, İsviçre ve Birleşik </w:t>
            </w:r>
            <w:proofErr w:type="spellStart"/>
            <w:r w:rsidRPr="007069D0">
              <w:rPr>
                <w:rFonts w:ascii="Times New Roman" w:hAnsi="Times New Roman" w:cs="Times New Roman"/>
                <w:sz w:val="24"/>
                <w:szCs w:val="24"/>
              </w:rPr>
              <w:t>Krallık’tan</w:t>
            </w:r>
            <w:proofErr w:type="spellEnd"/>
            <w:r w:rsidRPr="007069D0">
              <w:rPr>
                <w:rFonts w:ascii="Times New Roman" w:hAnsi="Times New Roman" w:cs="Times New Roman"/>
                <w:sz w:val="24"/>
                <w:szCs w:val="24"/>
              </w:rPr>
              <w:t xml:space="preserve"> 62 ortak yer almaktadır.</w:t>
            </w:r>
            <w:proofErr w:type="gramEnd"/>
          </w:p>
        </w:tc>
      </w:tr>
    </w:tbl>
    <w:p w:rsidR="00611116" w:rsidRPr="007069D0" w:rsidRDefault="0061111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9"/>
        <w:gridCol w:w="4820"/>
      </w:tblGrid>
      <w:tr w:rsidR="004A3595" w:rsidRPr="007069D0" w:rsidTr="00611116">
        <w:trPr>
          <w:trHeight w:val="397"/>
        </w:trPr>
        <w:tc>
          <w:tcPr>
            <w:tcW w:w="4219" w:type="dxa"/>
          </w:tcPr>
          <w:p w:rsidR="004A3595" w:rsidRPr="007069D0" w:rsidRDefault="004A3595"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 Adı:</w:t>
            </w:r>
          </w:p>
        </w:tc>
        <w:tc>
          <w:tcPr>
            <w:tcW w:w="4820" w:type="dxa"/>
          </w:tcPr>
          <w:p w:rsidR="004A3595" w:rsidRPr="007069D0" w:rsidRDefault="004A3595"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 xml:space="preserve">GEN6 - </w:t>
            </w:r>
            <w:proofErr w:type="spellStart"/>
            <w:r w:rsidRPr="007069D0">
              <w:rPr>
                <w:rFonts w:ascii="Times New Roman" w:hAnsi="Times New Roman" w:cs="Times New Roman"/>
                <w:sz w:val="24"/>
                <w:szCs w:val="24"/>
              </w:rPr>
              <w:t>Governments</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ENabled</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with</w:t>
            </w:r>
            <w:proofErr w:type="spellEnd"/>
            <w:r w:rsidRPr="007069D0">
              <w:rPr>
                <w:rFonts w:ascii="Times New Roman" w:hAnsi="Times New Roman" w:cs="Times New Roman"/>
                <w:sz w:val="24"/>
                <w:szCs w:val="24"/>
              </w:rPr>
              <w:t xml:space="preserve"> IPv6</w:t>
            </w:r>
          </w:p>
        </w:tc>
      </w:tr>
      <w:tr w:rsidR="004A3595" w:rsidRPr="007069D0" w:rsidTr="00611116">
        <w:trPr>
          <w:trHeight w:val="397"/>
        </w:trPr>
        <w:tc>
          <w:tcPr>
            <w:tcW w:w="4219" w:type="dxa"/>
          </w:tcPr>
          <w:p w:rsidR="004A3595" w:rsidRPr="007069D0" w:rsidRDefault="004A3595"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Katılımcı Kurum/Kuruluş:</w:t>
            </w:r>
          </w:p>
        </w:tc>
        <w:tc>
          <w:tcPr>
            <w:tcW w:w="4820" w:type="dxa"/>
          </w:tcPr>
          <w:p w:rsidR="004A3595" w:rsidRPr="007069D0" w:rsidRDefault="004A3595"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TÜBİTAK</w:t>
            </w:r>
            <w:r w:rsidR="00920D0D">
              <w:rPr>
                <w:rFonts w:ascii="Times New Roman" w:hAnsi="Times New Roman" w:cs="Times New Roman"/>
                <w:sz w:val="24"/>
                <w:szCs w:val="24"/>
              </w:rPr>
              <w:t xml:space="preserve"> - ULAKBİM</w:t>
            </w:r>
          </w:p>
          <w:p w:rsidR="004A3595" w:rsidRPr="007069D0" w:rsidRDefault="004A3595"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TÜRKSAT</w:t>
            </w:r>
          </w:p>
        </w:tc>
      </w:tr>
      <w:tr w:rsidR="004A3595" w:rsidRPr="007069D0" w:rsidTr="00611116">
        <w:trPr>
          <w:trHeight w:val="397"/>
        </w:trPr>
        <w:tc>
          <w:tcPr>
            <w:tcW w:w="4219" w:type="dxa"/>
          </w:tcPr>
          <w:p w:rsidR="004A3595" w:rsidRPr="007069D0" w:rsidRDefault="004A3595"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Tahmini Başlangıç Zamanı:</w:t>
            </w:r>
          </w:p>
        </w:tc>
        <w:tc>
          <w:tcPr>
            <w:tcW w:w="4820" w:type="dxa"/>
          </w:tcPr>
          <w:p w:rsidR="004A3595" w:rsidRPr="007069D0" w:rsidRDefault="004A3595"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2012</w:t>
            </w:r>
          </w:p>
        </w:tc>
      </w:tr>
      <w:tr w:rsidR="004A3595" w:rsidRPr="007069D0" w:rsidTr="00611116">
        <w:trPr>
          <w:trHeight w:val="397"/>
        </w:trPr>
        <w:tc>
          <w:tcPr>
            <w:tcW w:w="4219" w:type="dxa"/>
          </w:tcPr>
          <w:p w:rsidR="004A3595" w:rsidRPr="007069D0" w:rsidRDefault="004A3595"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Süresi:</w:t>
            </w:r>
          </w:p>
        </w:tc>
        <w:tc>
          <w:tcPr>
            <w:tcW w:w="4820" w:type="dxa"/>
          </w:tcPr>
          <w:p w:rsidR="004A3595" w:rsidRPr="007069D0" w:rsidRDefault="004A3595"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30 Ay</w:t>
            </w:r>
          </w:p>
        </w:tc>
      </w:tr>
      <w:tr w:rsidR="004A3595" w:rsidRPr="007069D0" w:rsidTr="00611116">
        <w:trPr>
          <w:trHeight w:val="397"/>
        </w:trPr>
        <w:tc>
          <w:tcPr>
            <w:tcW w:w="4219" w:type="dxa"/>
          </w:tcPr>
          <w:p w:rsidR="004A3595" w:rsidRPr="007069D0" w:rsidRDefault="004A3595"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İlgili Olduğu Konu Başlığı:</w:t>
            </w:r>
          </w:p>
        </w:tc>
        <w:tc>
          <w:tcPr>
            <w:tcW w:w="4820" w:type="dxa"/>
          </w:tcPr>
          <w:p w:rsidR="004A3595" w:rsidRPr="007069D0" w:rsidRDefault="004A3595"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Tema 4 – Yenilikçi devlet ve kamu hizmetleri için BİT</w:t>
            </w:r>
          </w:p>
        </w:tc>
      </w:tr>
      <w:tr w:rsidR="004A3595" w:rsidRPr="007069D0" w:rsidTr="00F51209">
        <w:trPr>
          <w:trHeight w:val="397"/>
        </w:trPr>
        <w:tc>
          <w:tcPr>
            <w:tcW w:w="9039" w:type="dxa"/>
            <w:gridSpan w:val="2"/>
          </w:tcPr>
          <w:p w:rsidR="00920D0D" w:rsidRDefault="004A3595" w:rsidP="00F51209">
            <w:pPr>
              <w:spacing w:line="276" w:lineRule="auto"/>
              <w:jc w:val="both"/>
              <w:rPr>
                <w:rFonts w:ascii="Times New Roman" w:hAnsi="Times New Roman" w:cs="Times New Roman"/>
                <w:sz w:val="24"/>
                <w:szCs w:val="24"/>
              </w:rPr>
            </w:pPr>
            <w:r w:rsidRPr="007069D0">
              <w:rPr>
                <w:rFonts w:ascii="Times New Roman" w:hAnsi="Times New Roman" w:cs="Times New Roman"/>
                <w:b/>
                <w:sz w:val="24"/>
                <w:szCs w:val="24"/>
              </w:rPr>
              <w:t>ÖZET:</w:t>
            </w:r>
            <w:r w:rsidRPr="007069D0">
              <w:rPr>
                <w:rFonts w:ascii="Times New Roman" w:hAnsi="Times New Roman" w:cs="Times New Roman"/>
                <w:sz w:val="24"/>
                <w:szCs w:val="24"/>
              </w:rPr>
              <w:t xml:space="preserve"> Ulusal çapta 4 farklı deney içerecek olan GEN6 projesinde, bu deneylerden bazıları farklı ülkelerde, mevcut farklı IPv4 yaklaşımları düşünülerek, birbirini tamamlayacak şekilde tekrarlanacaktır</w:t>
            </w:r>
            <w:r w:rsidR="00057C87" w:rsidRPr="007069D0">
              <w:rPr>
                <w:rFonts w:ascii="Times New Roman" w:hAnsi="Times New Roman" w:cs="Times New Roman"/>
                <w:sz w:val="24"/>
                <w:szCs w:val="24"/>
              </w:rPr>
              <w:t>.</w:t>
            </w:r>
          </w:p>
          <w:p w:rsidR="004A3595" w:rsidRPr="007069D0" w:rsidRDefault="004A3595"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 xml:space="preserve">1. </w:t>
            </w:r>
            <w:proofErr w:type="spellStart"/>
            <w:r w:rsidRPr="007069D0">
              <w:rPr>
                <w:rFonts w:ascii="Times New Roman" w:hAnsi="Times New Roman" w:cs="Times New Roman"/>
                <w:sz w:val="24"/>
                <w:szCs w:val="24"/>
              </w:rPr>
              <w:t>eDevlet</w:t>
            </w:r>
            <w:proofErr w:type="spellEnd"/>
            <w:r w:rsidRPr="007069D0">
              <w:rPr>
                <w:rFonts w:ascii="Times New Roman" w:hAnsi="Times New Roman" w:cs="Times New Roman"/>
                <w:sz w:val="24"/>
                <w:szCs w:val="24"/>
              </w:rPr>
              <w:t xml:space="preserve"> ve </w:t>
            </w:r>
            <w:proofErr w:type="spellStart"/>
            <w:r w:rsidRPr="007069D0">
              <w:rPr>
                <w:rFonts w:ascii="Times New Roman" w:hAnsi="Times New Roman" w:cs="Times New Roman"/>
                <w:sz w:val="24"/>
                <w:szCs w:val="24"/>
              </w:rPr>
              <w:t>eKimlik</w:t>
            </w:r>
            <w:proofErr w:type="spellEnd"/>
            <w:r w:rsidRPr="007069D0">
              <w:rPr>
                <w:rFonts w:ascii="Times New Roman" w:hAnsi="Times New Roman" w:cs="Times New Roman"/>
                <w:sz w:val="24"/>
                <w:szCs w:val="24"/>
              </w:rPr>
              <w:t xml:space="preserve"> uygulamaların</w:t>
            </w:r>
            <w:r w:rsidR="00057C87" w:rsidRPr="007069D0">
              <w:rPr>
                <w:rFonts w:ascii="Times New Roman" w:hAnsi="Times New Roman" w:cs="Times New Roman"/>
                <w:sz w:val="24"/>
                <w:szCs w:val="24"/>
              </w:rPr>
              <w:t>d</w:t>
            </w:r>
            <w:r w:rsidRPr="007069D0">
              <w:rPr>
                <w:rFonts w:ascii="Times New Roman" w:hAnsi="Times New Roman" w:cs="Times New Roman"/>
                <w:sz w:val="24"/>
                <w:szCs w:val="24"/>
              </w:rPr>
              <w:t>a IPv6’ya geçiş (Almanya, İspanya, Hollanda, Çek Cumhuriyeti ve Türkiye)</w:t>
            </w:r>
          </w:p>
          <w:p w:rsidR="004A3595" w:rsidRPr="007069D0" w:rsidRDefault="004A3595"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2. Güvenli Bulut Hizmetlerinde IPv6’ya geçiş (Lüksemburg)</w:t>
            </w:r>
          </w:p>
          <w:p w:rsidR="004A3595" w:rsidRPr="007069D0" w:rsidRDefault="004A3595"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3. Okullarda IPv6 ile Enerji Verimliliği (Yunanistan)</w:t>
            </w:r>
          </w:p>
          <w:p w:rsidR="004A3595" w:rsidRPr="007069D0" w:rsidRDefault="004A3595"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4. Acil Durum Müdahale Ortamlarında IPv6’ya geçiş (Slovenya)</w:t>
            </w:r>
          </w:p>
          <w:p w:rsidR="004A3595" w:rsidRPr="007069D0" w:rsidRDefault="004A3595"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GEN6 projesinin temel amacı, ülkelerin IPv6 teknolojisine geçiş, uygulama ve ilgili planlama aşamalarında, genel ve kapsamlı bir kılavuz oluşturmaktır. GEN6 projesinin yol haritası ve ilgili iletişim mekanizmaları, proje süresince (özellikle son 6 ay) ortaya çıkan başarılı sonuçların bir an önce yaygınlaşmasını amaçlamaktadır. Tüm Avrupa çapında yaygınlaşmayı öngören kampanyaların ilk hedefi, kamu yönetimlerinde IPv6 uygulamasına geçiştir. IPv6’nın yaygınlaşmasının önemini vurgulamak amacıyla, Brüksel’de, Avrupa Komisyonu ile ortak bir etk</w:t>
            </w:r>
            <w:r w:rsidR="00057C87" w:rsidRPr="007069D0">
              <w:rPr>
                <w:rFonts w:ascii="Times New Roman" w:hAnsi="Times New Roman" w:cs="Times New Roman"/>
                <w:sz w:val="24"/>
                <w:szCs w:val="24"/>
              </w:rPr>
              <w:t>inlik düzenlenmesi planlanmaktadır</w:t>
            </w:r>
            <w:r w:rsidRPr="007069D0">
              <w:rPr>
                <w:rFonts w:ascii="Times New Roman" w:hAnsi="Times New Roman" w:cs="Times New Roman"/>
                <w:sz w:val="24"/>
                <w:szCs w:val="24"/>
              </w:rPr>
              <w:t>.</w:t>
            </w:r>
          </w:p>
        </w:tc>
      </w:tr>
    </w:tbl>
    <w:p w:rsidR="004A3595" w:rsidRPr="007069D0" w:rsidRDefault="004A359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9"/>
        <w:gridCol w:w="4820"/>
      </w:tblGrid>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 Adı:</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 xml:space="preserve">European </w:t>
            </w:r>
            <w:proofErr w:type="spellStart"/>
            <w:r w:rsidRPr="007069D0">
              <w:rPr>
                <w:rFonts w:ascii="Times New Roman" w:hAnsi="Times New Roman" w:cs="Times New Roman"/>
                <w:sz w:val="24"/>
                <w:szCs w:val="24"/>
              </w:rPr>
              <w:t>Newspapers</w:t>
            </w:r>
            <w:proofErr w:type="spellEnd"/>
          </w:p>
        </w:tc>
      </w:tr>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Katılımcı Kurum/Kuruluş:</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Milli Kütüphane Başkanlığı</w:t>
            </w:r>
          </w:p>
        </w:tc>
      </w:tr>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Tahmini Başlangıç Zamanı:</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2012</w:t>
            </w:r>
          </w:p>
        </w:tc>
      </w:tr>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Süresi:</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36 Ay</w:t>
            </w:r>
          </w:p>
        </w:tc>
      </w:tr>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İlgili Olduğu Konu Başlığı:</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Tema 2 – Sayısal İçerik</w:t>
            </w:r>
          </w:p>
        </w:tc>
      </w:tr>
      <w:tr w:rsidR="00B6676B" w:rsidRPr="007069D0" w:rsidTr="00F51209">
        <w:trPr>
          <w:trHeight w:val="397"/>
        </w:trPr>
        <w:tc>
          <w:tcPr>
            <w:tcW w:w="9039" w:type="dxa"/>
            <w:gridSpan w:val="2"/>
          </w:tcPr>
          <w:p w:rsidR="00B6676B" w:rsidRPr="007069D0" w:rsidRDefault="00B6676B" w:rsidP="00057C87">
            <w:pPr>
              <w:spacing w:line="276" w:lineRule="auto"/>
              <w:jc w:val="both"/>
              <w:rPr>
                <w:rFonts w:ascii="Times New Roman" w:hAnsi="Times New Roman" w:cs="Times New Roman"/>
                <w:sz w:val="24"/>
                <w:szCs w:val="24"/>
              </w:rPr>
            </w:pPr>
            <w:r w:rsidRPr="007069D0">
              <w:rPr>
                <w:rFonts w:ascii="Times New Roman" w:hAnsi="Times New Roman" w:cs="Times New Roman"/>
                <w:b/>
                <w:sz w:val="24"/>
                <w:szCs w:val="24"/>
              </w:rPr>
              <w:t>ÖZET:</w:t>
            </w:r>
            <w:r w:rsidRPr="007069D0">
              <w:rPr>
                <w:rFonts w:ascii="Times New Roman" w:hAnsi="Times New Roman" w:cs="Times New Roman"/>
                <w:sz w:val="24"/>
                <w:szCs w:val="24"/>
              </w:rPr>
              <w:t xml:space="preserve"> Bu projeyle, Avrupa Kütüphanesi ve </w:t>
            </w:r>
            <w:proofErr w:type="spellStart"/>
            <w:r w:rsidRPr="007069D0">
              <w:rPr>
                <w:rFonts w:ascii="Times New Roman" w:hAnsi="Times New Roman" w:cs="Times New Roman"/>
                <w:sz w:val="24"/>
                <w:szCs w:val="24"/>
              </w:rPr>
              <w:t>Europeana</w:t>
            </w:r>
            <w:proofErr w:type="spellEnd"/>
            <w:r w:rsidRPr="007069D0">
              <w:rPr>
                <w:rFonts w:ascii="Times New Roman" w:hAnsi="Times New Roman" w:cs="Times New Roman"/>
                <w:sz w:val="24"/>
                <w:szCs w:val="24"/>
              </w:rPr>
              <w:t xml:space="preserve"> için Avrupa ülkelerinde yayımlanmış g</w:t>
            </w:r>
            <w:r w:rsidR="00057C87" w:rsidRPr="007069D0">
              <w:rPr>
                <w:rFonts w:ascii="Times New Roman" w:hAnsi="Times New Roman" w:cs="Times New Roman"/>
                <w:sz w:val="24"/>
                <w:szCs w:val="24"/>
              </w:rPr>
              <w:t>azetelerin toplanması ve tasnif</w:t>
            </w:r>
            <w:r w:rsidRPr="007069D0">
              <w:rPr>
                <w:rFonts w:ascii="Times New Roman" w:hAnsi="Times New Roman" w:cs="Times New Roman"/>
                <w:sz w:val="24"/>
                <w:szCs w:val="24"/>
              </w:rPr>
              <w:t xml:space="preserve"> edilmesi hedeflenmektedir. Sayısal gazetelerle ilgili işleme, sınıflandırma, arama yapma, sunum, kalite kontrol gibi alanlarda çalışmaların yürütüleceği proje ile kullanıcılar, Avrupa genelinde geçmişten günümüze yayımlanmış gazetelere kolayca ulaşıp, yerel, ulusal ve uluslararası olaylar hakkındaki bilgileri edinebileceklerdir. Projede ülkemizin yanı sıra Almanya, Hollanda, Estonya, Avusturya, Finlandiya, Fransa, Polonya, Birleşik Krallık, Letonya, Sırbistan ve İtalya’dan ortaklar yer almaktadır.  </w:t>
            </w:r>
          </w:p>
          <w:p w:rsidR="00B6676B" w:rsidRPr="007069D0" w:rsidRDefault="00B6676B" w:rsidP="00F51209">
            <w:pPr>
              <w:spacing w:line="276" w:lineRule="auto"/>
              <w:rPr>
                <w:rFonts w:ascii="Times New Roman" w:hAnsi="Times New Roman" w:cs="Times New Roman"/>
                <w:sz w:val="24"/>
                <w:szCs w:val="24"/>
              </w:rPr>
            </w:pPr>
          </w:p>
        </w:tc>
      </w:tr>
    </w:tbl>
    <w:p w:rsidR="00B6676B" w:rsidRPr="007069D0" w:rsidRDefault="00B6676B" w:rsidP="00B6676B">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9"/>
        <w:gridCol w:w="4820"/>
      </w:tblGrid>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 Adı:</w:t>
            </w:r>
          </w:p>
        </w:tc>
        <w:tc>
          <w:tcPr>
            <w:tcW w:w="4820" w:type="dxa"/>
          </w:tcPr>
          <w:p w:rsidR="00B6676B" w:rsidRPr="007069D0" w:rsidRDefault="00B6676B" w:rsidP="00F51209">
            <w:pPr>
              <w:spacing w:line="276" w:lineRule="auto"/>
              <w:jc w:val="both"/>
              <w:rPr>
                <w:rFonts w:ascii="Times New Roman" w:hAnsi="Times New Roman" w:cs="Times New Roman"/>
                <w:sz w:val="24"/>
                <w:szCs w:val="24"/>
                <w:lang w:val="en-US"/>
              </w:rPr>
            </w:pPr>
            <w:proofErr w:type="spellStart"/>
            <w:r w:rsidRPr="007069D0">
              <w:rPr>
                <w:rFonts w:ascii="Times New Roman" w:hAnsi="Times New Roman" w:cs="Times New Roman"/>
                <w:sz w:val="24"/>
                <w:szCs w:val="24"/>
                <w:lang w:val="en-US"/>
              </w:rPr>
              <w:t>eEnviPer</w:t>
            </w:r>
            <w:proofErr w:type="spellEnd"/>
            <w:r w:rsidRPr="007069D0">
              <w:rPr>
                <w:rFonts w:ascii="Times New Roman" w:hAnsi="Times New Roman" w:cs="Times New Roman"/>
                <w:sz w:val="24"/>
                <w:szCs w:val="24"/>
                <w:lang w:val="en-US"/>
              </w:rPr>
              <w:t xml:space="preserve"> – A single multi-purpose SOA platform that delivers environmental permissions services through the cloud of e-Government services and applications</w:t>
            </w:r>
          </w:p>
        </w:tc>
      </w:tr>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Katılımcı Kurum/Kuruluş:</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Niğde Belediyesi</w:t>
            </w:r>
          </w:p>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SAMPAŞ</w:t>
            </w:r>
          </w:p>
        </w:tc>
      </w:tr>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Tahmini Başlangıç Zamanı:</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2012</w:t>
            </w:r>
          </w:p>
        </w:tc>
      </w:tr>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Süresi:</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24 Ay</w:t>
            </w:r>
          </w:p>
        </w:tc>
      </w:tr>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İlgili Olduğu Konu Başlığı:</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Tema 4 – Yenilikçi Devlet ve Kamu Hizmetleri</w:t>
            </w:r>
          </w:p>
        </w:tc>
      </w:tr>
      <w:tr w:rsidR="00B6676B" w:rsidRPr="007069D0" w:rsidTr="00F51209">
        <w:trPr>
          <w:trHeight w:val="397"/>
        </w:trPr>
        <w:tc>
          <w:tcPr>
            <w:tcW w:w="9039" w:type="dxa"/>
            <w:gridSpan w:val="2"/>
          </w:tcPr>
          <w:p w:rsidR="00B6676B" w:rsidRPr="007069D0" w:rsidRDefault="00B6676B" w:rsidP="00057C87">
            <w:pPr>
              <w:spacing w:line="276" w:lineRule="auto"/>
              <w:jc w:val="both"/>
              <w:rPr>
                <w:rFonts w:ascii="Times New Roman" w:hAnsi="Times New Roman" w:cs="Times New Roman"/>
                <w:sz w:val="24"/>
                <w:szCs w:val="24"/>
              </w:rPr>
            </w:pPr>
            <w:r w:rsidRPr="007069D0">
              <w:rPr>
                <w:rFonts w:ascii="Times New Roman" w:hAnsi="Times New Roman" w:cs="Times New Roman"/>
                <w:b/>
                <w:sz w:val="24"/>
                <w:szCs w:val="24"/>
              </w:rPr>
              <w:t>ÖZET:</w:t>
            </w:r>
            <w:r w:rsidRPr="007069D0">
              <w:rPr>
                <w:rFonts w:ascii="Times New Roman" w:hAnsi="Times New Roman" w:cs="Times New Roman"/>
                <w:sz w:val="24"/>
                <w:szCs w:val="24"/>
              </w:rPr>
              <w:t xml:space="preserve"> Bu projeyle, servis odaklı mimari tabanlı mevcut bir bulut bilişim platformunun beş farklı Avrupa ülkesinde test edilmesi hedeflenmektedir. Çevrenin etkin bir şekilde korunabilmesi için kamu kurumları ile vatandaşların yeterli düzeyde etkileşime geçebilmesi ve bu kapsamda çevre izinleri ile ilgili süreçlere halkın katılımı önem arz etmektedir. Bu sebeple, çevre izinleri ile ilgili süreçleri ve hizmetleri </w:t>
            </w:r>
            <w:proofErr w:type="gramStart"/>
            <w:r w:rsidRPr="007069D0">
              <w:rPr>
                <w:rFonts w:ascii="Times New Roman" w:hAnsi="Times New Roman" w:cs="Times New Roman"/>
                <w:sz w:val="24"/>
                <w:szCs w:val="24"/>
              </w:rPr>
              <w:t>entegre</w:t>
            </w:r>
            <w:proofErr w:type="gramEnd"/>
            <w:r w:rsidRPr="007069D0">
              <w:rPr>
                <w:rFonts w:ascii="Times New Roman" w:hAnsi="Times New Roman" w:cs="Times New Roman"/>
                <w:sz w:val="24"/>
                <w:szCs w:val="24"/>
              </w:rPr>
              <w:t xml:space="preserve"> eden bir sisteme ihtiyaç duyulmaktadır. Bu proje sayesinde çevre izinleri </w:t>
            </w:r>
            <w:proofErr w:type="gramStart"/>
            <w:r w:rsidRPr="007069D0">
              <w:rPr>
                <w:rFonts w:ascii="Times New Roman" w:hAnsi="Times New Roman" w:cs="Times New Roman"/>
                <w:sz w:val="24"/>
                <w:szCs w:val="24"/>
              </w:rPr>
              <w:t>prosedürleri</w:t>
            </w:r>
            <w:proofErr w:type="gramEnd"/>
            <w:r w:rsidRPr="007069D0">
              <w:rPr>
                <w:rFonts w:ascii="Times New Roman" w:hAnsi="Times New Roman" w:cs="Times New Roman"/>
                <w:sz w:val="24"/>
                <w:szCs w:val="24"/>
              </w:rPr>
              <w:t xml:space="preserve"> ile ilgili olan ve birbirini tamamlayan farklı sistemler, servis odaklı mimari ve bulut bilişim altyapısın getirdiği avantajlardan faydalanılarak bütünleştirilecektir. Projede ülkemizin yanı sıra Yunanistan, Birleşik Krallık, İtalya, Belçika, Sırbistan ve Hırvatistan’dan ortaklar yer almaktadır.  </w:t>
            </w:r>
          </w:p>
          <w:p w:rsidR="00B6676B" w:rsidRPr="007069D0" w:rsidRDefault="00B6676B" w:rsidP="00F51209">
            <w:pPr>
              <w:spacing w:line="276" w:lineRule="auto"/>
              <w:rPr>
                <w:rFonts w:ascii="Times New Roman" w:hAnsi="Times New Roman" w:cs="Times New Roman"/>
                <w:sz w:val="24"/>
                <w:szCs w:val="24"/>
              </w:rPr>
            </w:pPr>
          </w:p>
        </w:tc>
      </w:tr>
    </w:tbl>
    <w:p w:rsidR="00920D0D" w:rsidRDefault="00920D0D" w:rsidP="00B6676B">
      <w:pPr>
        <w:rPr>
          <w:rFonts w:ascii="Times New Roman" w:hAnsi="Times New Roman" w:cs="Times New Roman"/>
          <w:sz w:val="24"/>
          <w:szCs w:val="24"/>
        </w:rPr>
      </w:pPr>
    </w:p>
    <w:p w:rsidR="00920D0D" w:rsidRDefault="00920D0D">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0" w:type="auto"/>
        <w:tblLook w:val="04A0" w:firstRow="1" w:lastRow="0" w:firstColumn="1" w:lastColumn="0" w:noHBand="0" w:noVBand="1"/>
      </w:tblPr>
      <w:tblGrid>
        <w:gridCol w:w="4219"/>
        <w:gridCol w:w="4820"/>
      </w:tblGrid>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 Adı:</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 xml:space="preserve">Open-DAI </w:t>
            </w:r>
            <w:r w:rsidRPr="007069D0">
              <w:rPr>
                <w:rFonts w:ascii="Times New Roman" w:hAnsi="Times New Roman" w:cs="Times New Roman"/>
                <w:sz w:val="24"/>
                <w:szCs w:val="24"/>
                <w:lang w:val="en-US"/>
              </w:rPr>
              <w:t>– Opening Data Architectures and Infrastructures of European Public Administrations</w:t>
            </w:r>
          </w:p>
        </w:tc>
      </w:tr>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Katılımcı Kurum/Kuruluş:</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Ordu Belediyesi</w:t>
            </w:r>
          </w:p>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SAMPAŞ</w:t>
            </w:r>
          </w:p>
        </w:tc>
      </w:tr>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Tahmini Başlangıç Zamanı:</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2012</w:t>
            </w:r>
          </w:p>
        </w:tc>
      </w:tr>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Süresi:</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30 Ay</w:t>
            </w:r>
          </w:p>
        </w:tc>
      </w:tr>
      <w:tr w:rsidR="00B6676B" w:rsidRPr="007069D0" w:rsidTr="00611116">
        <w:trPr>
          <w:trHeight w:val="397"/>
        </w:trPr>
        <w:tc>
          <w:tcPr>
            <w:tcW w:w="4219" w:type="dxa"/>
          </w:tcPr>
          <w:p w:rsidR="00B6676B" w:rsidRPr="007069D0" w:rsidRDefault="00B6676B"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İlgili Olduğu Konu Başlığı:</w:t>
            </w:r>
          </w:p>
        </w:tc>
        <w:tc>
          <w:tcPr>
            <w:tcW w:w="4820" w:type="dxa"/>
          </w:tcPr>
          <w:p w:rsidR="00B6676B" w:rsidRPr="007069D0" w:rsidRDefault="00B6676B"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Tema 4 – Yenilikçi Devlet ve Kamu Hizmetleri</w:t>
            </w:r>
          </w:p>
        </w:tc>
      </w:tr>
      <w:tr w:rsidR="00B6676B" w:rsidRPr="007069D0" w:rsidTr="00F51209">
        <w:trPr>
          <w:trHeight w:val="397"/>
        </w:trPr>
        <w:tc>
          <w:tcPr>
            <w:tcW w:w="9039" w:type="dxa"/>
            <w:gridSpan w:val="2"/>
          </w:tcPr>
          <w:p w:rsidR="00B6676B" w:rsidRPr="007069D0" w:rsidRDefault="00B6676B" w:rsidP="00611116">
            <w:pPr>
              <w:spacing w:line="276" w:lineRule="auto"/>
              <w:jc w:val="both"/>
              <w:rPr>
                <w:rFonts w:ascii="Times New Roman" w:hAnsi="Times New Roman" w:cs="Times New Roman"/>
                <w:sz w:val="24"/>
                <w:szCs w:val="24"/>
              </w:rPr>
            </w:pPr>
            <w:r w:rsidRPr="007069D0">
              <w:rPr>
                <w:rFonts w:ascii="Times New Roman" w:hAnsi="Times New Roman" w:cs="Times New Roman"/>
                <w:b/>
                <w:sz w:val="24"/>
                <w:szCs w:val="24"/>
              </w:rPr>
              <w:t>ÖZET:</w:t>
            </w:r>
            <w:r w:rsidRPr="007069D0">
              <w:rPr>
                <w:rFonts w:ascii="Times New Roman" w:hAnsi="Times New Roman" w:cs="Times New Roman"/>
                <w:sz w:val="24"/>
                <w:szCs w:val="24"/>
              </w:rPr>
              <w:t xml:space="preserve"> Bu projeyle, kamu kurumlarının </w:t>
            </w:r>
            <w:proofErr w:type="spellStart"/>
            <w:r w:rsidRPr="007069D0">
              <w:rPr>
                <w:rFonts w:ascii="Times New Roman" w:hAnsi="Times New Roman" w:cs="Times New Roman"/>
                <w:sz w:val="24"/>
                <w:szCs w:val="24"/>
              </w:rPr>
              <w:t>veritabanlarında</w:t>
            </w:r>
            <w:proofErr w:type="spellEnd"/>
            <w:r w:rsidRPr="007069D0">
              <w:rPr>
                <w:rFonts w:ascii="Times New Roman" w:hAnsi="Times New Roman" w:cs="Times New Roman"/>
                <w:sz w:val="24"/>
                <w:szCs w:val="24"/>
              </w:rPr>
              <w:t xml:space="preserve"> saklanan büyük miktarda verinin potansiyel kullanıcıların erişimine açılması ve kamu kurumlarının </w:t>
            </w:r>
            <w:proofErr w:type="spellStart"/>
            <w:r w:rsidRPr="007069D0">
              <w:rPr>
                <w:rFonts w:ascii="Times New Roman" w:hAnsi="Times New Roman" w:cs="Times New Roman"/>
                <w:sz w:val="24"/>
                <w:szCs w:val="24"/>
              </w:rPr>
              <w:t>veritabanlarının</w:t>
            </w:r>
            <w:proofErr w:type="spellEnd"/>
            <w:r w:rsidRPr="007069D0">
              <w:rPr>
                <w:rFonts w:ascii="Times New Roman" w:hAnsi="Times New Roman" w:cs="Times New Roman"/>
                <w:sz w:val="24"/>
                <w:szCs w:val="24"/>
              </w:rPr>
              <w:t xml:space="preserve"> kapalı yapılardan açık mimarilere doğru evriminin sağlanması hedeflenmektedir. Bu sayede pek çok sosyal ihtiyacın karşılanmasına yardımcı olacağı ve yenilikçiliği ve yeni iş fırsatlarını destekleyeceği geniş kabul görmesine rağmen etkin bir şekilde kullanılamayan zengin kamu bilgisi kaynaklarından yararlanılmış olacaktır. Proje, servis odaklı mimari, bulut bilişim ve sanallaştırma gibi teknolojilerin avantajlarından yararlanılarak gerçekleştirilecektir. Projede ülkemizin yanı sıra İtalya, İspanya ve İsveç’</w:t>
            </w:r>
            <w:r w:rsidR="00611116">
              <w:rPr>
                <w:rFonts w:ascii="Times New Roman" w:hAnsi="Times New Roman" w:cs="Times New Roman"/>
                <w:sz w:val="24"/>
                <w:szCs w:val="24"/>
              </w:rPr>
              <w:t>ten ortaklar yer almaktadır.</w:t>
            </w:r>
          </w:p>
        </w:tc>
      </w:tr>
    </w:tbl>
    <w:p w:rsidR="002322FF" w:rsidRPr="007069D0" w:rsidRDefault="002322F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9"/>
        <w:gridCol w:w="4820"/>
      </w:tblGrid>
      <w:tr w:rsidR="00D81260" w:rsidRPr="007069D0" w:rsidTr="00611116">
        <w:trPr>
          <w:trHeight w:val="397"/>
        </w:trPr>
        <w:tc>
          <w:tcPr>
            <w:tcW w:w="4219" w:type="dxa"/>
          </w:tcPr>
          <w:p w:rsidR="00D81260" w:rsidRPr="007069D0" w:rsidRDefault="00D81260"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 Adı:</w:t>
            </w:r>
          </w:p>
        </w:tc>
        <w:tc>
          <w:tcPr>
            <w:tcW w:w="4820" w:type="dxa"/>
          </w:tcPr>
          <w:p w:rsidR="00D81260" w:rsidRPr="007069D0" w:rsidRDefault="00D81260" w:rsidP="00F51209">
            <w:pPr>
              <w:spacing w:line="276" w:lineRule="auto"/>
              <w:jc w:val="both"/>
              <w:rPr>
                <w:rFonts w:ascii="Times New Roman" w:hAnsi="Times New Roman" w:cs="Times New Roman"/>
                <w:sz w:val="24"/>
                <w:szCs w:val="24"/>
              </w:rPr>
            </w:pPr>
            <w:proofErr w:type="spellStart"/>
            <w:r w:rsidRPr="007069D0">
              <w:rPr>
                <w:rFonts w:ascii="Times New Roman" w:hAnsi="Times New Roman" w:cs="Times New Roman"/>
                <w:sz w:val="24"/>
                <w:szCs w:val="24"/>
              </w:rPr>
              <w:t>CitySDK</w:t>
            </w:r>
            <w:proofErr w:type="spellEnd"/>
            <w:r w:rsidRPr="007069D0">
              <w:rPr>
                <w:rFonts w:ascii="Times New Roman" w:hAnsi="Times New Roman" w:cs="Times New Roman"/>
                <w:sz w:val="24"/>
                <w:szCs w:val="24"/>
              </w:rPr>
              <w:t xml:space="preserve"> (Smart City Service Development Kit </w:t>
            </w:r>
            <w:proofErr w:type="spellStart"/>
            <w:r w:rsidRPr="007069D0">
              <w:rPr>
                <w:rFonts w:ascii="Times New Roman" w:hAnsi="Times New Roman" w:cs="Times New Roman"/>
                <w:sz w:val="24"/>
                <w:szCs w:val="24"/>
              </w:rPr>
              <w:t>and</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its</w:t>
            </w:r>
            <w:proofErr w:type="spellEnd"/>
            <w:r w:rsidRPr="007069D0">
              <w:rPr>
                <w:rFonts w:ascii="Times New Roman" w:hAnsi="Times New Roman" w:cs="Times New Roman"/>
                <w:sz w:val="24"/>
                <w:szCs w:val="24"/>
              </w:rPr>
              <w:t xml:space="preserve"> Application </w:t>
            </w:r>
            <w:proofErr w:type="spellStart"/>
            <w:r w:rsidRPr="007069D0">
              <w:rPr>
                <w:rFonts w:ascii="Times New Roman" w:hAnsi="Times New Roman" w:cs="Times New Roman"/>
                <w:sz w:val="24"/>
                <w:szCs w:val="24"/>
              </w:rPr>
              <w:t>Pilots</w:t>
            </w:r>
            <w:proofErr w:type="spellEnd"/>
            <w:r w:rsidRPr="007069D0">
              <w:rPr>
                <w:rFonts w:ascii="Times New Roman" w:hAnsi="Times New Roman" w:cs="Times New Roman"/>
                <w:sz w:val="24"/>
                <w:szCs w:val="24"/>
              </w:rPr>
              <w:t>)</w:t>
            </w:r>
          </w:p>
        </w:tc>
      </w:tr>
      <w:tr w:rsidR="00D81260" w:rsidRPr="007069D0" w:rsidTr="00611116">
        <w:trPr>
          <w:trHeight w:val="397"/>
        </w:trPr>
        <w:tc>
          <w:tcPr>
            <w:tcW w:w="4219" w:type="dxa"/>
          </w:tcPr>
          <w:p w:rsidR="00D81260" w:rsidRPr="007069D0" w:rsidRDefault="00D81260"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Katılımcı Kurum/Kuruluş:</w:t>
            </w:r>
          </w:p>
        </w:tc>
        <w:tc>
          <w:tcPr>
            <w:tcW w:w="4820" w:type="dxa"/>
          </w:tcPr>
          <w:p w:rsidR="00D81260" w:rsidRPr="007069D0" w:rsidRDefault="00D81260" w:rsidP="00F51209">
            <w:pPr>
              <w:pStyle w:val="ListeParagraf"/>
              <w:ind w:left="54"/>
              <w:jc w:val="both"/>
              <w:rPr>
                <w:rFonts w:ascii="Times New Roman" w:hAnsi="Times New Roman" w:cs="Times New Roman"/>
                <w:sz w:val="24"/>
                <w:szCs w:val="24"/>
              </w:rPr>
            </w:pPr>
            <w:r w:rsidRPr="007069D0">
              <w:rPr>
                <w:rFonts w:ascii="Times New Roman" w:hAnsi="Times New Roman" w:cs="Times New Roman"/>
                <w:sz w:val="24"/>
                <w:szCs w:val="24"/>
              </w:rPr>
              <w:t>İstanbul Büyükşehir Belediyesi</w:t>
            </w:r>
          </w:p>
          <w:p w:rsidR="00D81260" w:rsidRPr="007069D0" w:rsidRDefault="00D81260" w:rsidP="00F51209">
            <w:pPr>
              <w:pStyle w:val="ListeParagraf"/>
              <w:ind w:left="54"/>
              <w:jc w:val="both"/>
              <w:rPr>
                <w:rFonts w:ascii="Times New Roman" w:hAnsi="Times New Roman" w:cs="Times New Roman"/>
                <w:sz w:val="24"/>
                <w:szCs w:val="24"/>
              </w:rPr>
            </w:pPr>
            <w:r w:rsidRPr="007069D0">
              <w:rPr>
                <w:rFonts w:ascii="Times New Roman" w:hAnsi="Times New Roman" w:cs="Times New Roman"/>
                <w:sz w:val="24"/>
                <w:szCs w:val="24"/>
              </w:rPr>
              <w:t>Teknoloji Araştırma Geliştirme Endüstriyel Ürünler Bilişim Teknolojileri San. Tic. A.Ş.</w:t>
            </w:r>
          </w:p>
        </w:tc>
      </w:tr>
      <w:tr w:rsidR="00D81260" w:rsidRPr="007069D0" w:rsidTr="00611116">
        <w:trPr>
          <w:trHeight w:val="397"/>
        </w:trPr>
        <w:tc>
          <w:tcPr>
            <w:tcW w:w="4219" w:type="dxa"/>
          </w:tcPr>
          <w:p w:rsidR="00D81260" w:rsidRPr="007069D0" w:rsidRDefault="00D81260"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Tahmini Başlangıç Zamanı:</w:t>
            </w:r>
          </w:p>
        </w:tc>
        <w:tc>
          <w:tcPr>
            <w:tcW w:w="4820" w:type="dxa"/>
          </w:tcPr>
          <w:p w:rsidR="00D81260" w:rsidRPr="007069D0" w:rsidRDefault="00D81260"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2012</w:t>
            </w:r>
          </w:p>
        </w:tc>
      </w:tr>
      <w:tr w:rsidR="00D81260" w:rsidRPr="007069D0" w:rsidTr="00611116">
        <w:trPr>
          <w:trHeight w:val="397"/>
        </w:trPr>
        <w:tc>
          <w:tcPr>
            <w:tcW w:w="4219" w:type="dxa"/>
          </w:tcPr>
          <w:p w:rsidR="00D81260" w:rsidRPr="007069D0" w:rsidRDefault="00D81260"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Süresi:</w:t>
            </w:r>
          </w:p>
        </w:tc>
        <w:tc>
          <w:tcPr>
            <w:tcW w:w="4820" w:type="dxa"/>
          </w:tcPr>
          <w:p w:rsidR="00D81260" w:rsidRPr="007069D0" w:rsidRDefault="00D81260"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30 Ay</w:t>
            </w:r>
          </w:p>
        </w:tc>
      </w:tr>
      <w:tr w:rsidR="00D81260" w:rsidRPr="007069D0" w:rsidTr="00611116">
        <w:trPr>
          <w:trHeight w:val="397"/>
        </w:trPr>
        <w:tc>
          <w:tcPr>
            <w:tcW w:w="4219" w:type="dxa"/>
          </w:tcPr>
          <w:p w:rsidR="00D81260" w:rsidRPr="007069D0" w:rsidRDefault="00D81260"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İlgili Olduğu Konu Başlığı:</w:t>
            </w:r>
          </w:p>
        </w:tc>
        <w:tc>
          <w:tcPr>
            <w:tcW w:w="4820" w:type="dxa"/>
          </w:tcPr>
          <w:p w:rsidR="00D81260" w:rsidRPr="007069D0" w:rsidRDefault="00D81260"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Tema 5 – İnternet Tabanlı Hizmetler İçin Açık Yenilik</w:t>
            </w:r>
          </w:p>
        </w:tc>
      </w:tr>
      <w:tr w:rsidR="00D81260" w:rsidRPr="007069D0" w:rsidTr="00F51209">
        <w:trPr>
          <w:trHeight w:val="397"/>
        </w:trPr>
        <w:tc>
          <w:tcPr>
            <w:tcW w:w="9039" w:type="dxa"/>
            <w:gridSpan w:val="2"/>
          </w:tcPr>
          <w:p w:rsidR="00FD0943" w:rsidRPr="007069D0" w:rsidRDefault="00D81260" w:rsidP="00FD0943">
            <w:pPr>
              <w:spacing w:line="276" w:lineRule="auto"/>
              <w:jc w:val="both"/>
              <w:rPr>
                <w:rFonts w:ascii="Times New Roman" w:hAnsi="Times New Roman" w:cs="Times New Roman"/>
                <w:sz w:val="24"/>
                <w:szCs w:val="24"/>
              </w:rPr>
            </w:pPr>
            <w:r w:rsidRPr="007069D0">
              <w:rPr>
                <w:rFonts w:ascii="Times New Roman" w:hAnsi="Times New Roman" w:cs="Times New Roman"/>
                <w:b/>
                <w:sz w:val="24"/>
                <w:szCs w:val="24"/>
              </w:rPr>
              <w:t>ÖZET:</w:t>
            </w:r>
            <w:r w:rsidRPr="007069D0">
              <w:rPr>
                <w:rFonts w:ascii="Times New Roman" w:hAnsi="Times New Roman" w:cs="Times New Roman"/>
                <w:sz w:val="24"/>
                <w:szCs w:val="24"/>
              </w:rPr>
              <w:t xml:space="preserve"> Bu projeyle, Avrupa’daki sekiz paydaş şehirde üç tane akıllı şehir pilot hizmetinin hayata geçirilmesi amaçlanmaktadır. Bu pilot projeler akıllı </w:t>
            </w:r>
            <w:proofErr w:type="spellStart"/>
            <w:r w:rsidRPr="007069D0">
              <w:rPr>
                <w:rFonts w:ascii="Times New Roman" w:hAnsi="Times New Roman" w:cs="Times New Roman"/>
                <w:sz w:val="24"/>
                <w:szCs w:val="24"/>
              </w:rPr>
              <w:t>mobilite</w:t>
            </w:r>
            <w:proofErr w:type="spellEnd"/>
            <w:r w:rsidRPr="007069D0">
              <w:rPr>
                <w:rFonts w:ascii="Times New Roman" w:hAnsi="Times New Roman" w:cs="Times New Roman"/>
                <w:sz w:val="24"/>
                <w:szCs w:val="24"/>
              </w:rPr>
              <w:t xml:space="preserve">, akıllı katılım ve akıllı turizm alanlarındadır. Bu hizmet ile Avrupa Akıllı Şehir Uygulamalarının gelişme ve yenilenme kapasitesinin artırılması ve iki şehir arasındaki transfer olanaklarının ilerletilmesi sağlanacaktır. Bu şehir örgütlenmelerinin ortaklaşa ortaya koyduğu liderlik ve </w:t>
            </w:r>
            <w:proofErr w:type="gramStart"/>
            <w:r w:rsidR="00057C87" w:rsidRPr="007069D0">
              <w:rPr>
                <w:rFonts w:ascii="Times New Roman" w:hAnsi="Times New Roman" w:cs="Times New Roman"/>
                <w:sz w:val="24"/>
                <w:szCs w:val="24"/>
              </w:rPr>
              <w:t>şehirler arası</w:t>
            </w:r>
            <w:proofErr w:type="gramEnd"/>
            <w:r w:rsidR="00057C87" w:rsidRPr="007069D0">
              <w:rPr>
                <w:rFonts w:ascii="Times New Roman" w:hAnsi="Times New Roman" w:cs="Times New Roman"/>
                <w:sz w:val="24"/>
                <w:szCs w:val="24"/>
              </w:rPr>
              <w:t xml:space="preserve"> işbirliği</w:t>
            </w:r>
            <w:r w:rsidRPr="007069D0">
              <w:rPr>
                <w:rFonts w:ascii="Times New Roman" w:hAnsi="Times New Roman" w:cs="Times New Roman"/>
                <w:sz w:val="24"/>
                <w:szCs w:val="24"/>
              </w:rPr>
              <w:t>, mevcut hizmetlerin uygulamaların, yazılımların ve bunun gibi deneyimlerin paylaşılması, projenin başarıya ulaşmasında</w:t>
            </w:r>
            <w:r w:rsidR="00FD0943" w:rsidRPr="007069D0">
              <w:rPr>
                <w:rFonts w:ascii="Times New Roman" w:hAnsi="Times New Roman" w:cs="Times New Roman"/>
                <w:sz w:val="24"/>
                <w:szCs w:val="24"/>
              </w:rPr>
              <w:t>ki</w:t>
            </w:r>
            <w:r w:rsidRPr="007069D0">
              <w:rPr>
                <w:rFonts w:ascii="Times New Roman" w:hAnsi="Times New Roman" w:cs="Times New Roman"/>
                <w:sz w:val="24"/>
                <w:szCs w:val="24"/>
              </w:rPr>
              <w:t xml:space="preserve"> anahtar faktörler</w:t>
            </w:r>
            <w:r w:rsidR="00FD0943" w:rsidRPr="007069D0">
              <w:rPr>
                <w:rFonts w:ascii="Times New Roman" w:hAnsi="Times New Roman" w:cs="Times New Roman"/>
                <w:sz w:val="24"/>
                <w:szCs w:val="24"/>
              </w:rPr>
              <w:t xml:space="preserve"> olarak sıralanmaktadır.</w:t>
            </w:r>
            <w:r w:rsidRPr="007069D0">
              <w:rPr>
                <w:rFonts w:ascii="Times New Roman" w:hAnsi="Times New Roman" w:cs="Times New Roman"/>
                <w:sz w:val="24"/>
                <w:szCs w:val="24"/>
              </w:rPr>
              <w:t xml:space="preserve"> Pilot projelerin şehirlerde yürütülmesi ve uygulamaların vatandaşların günlük yaşamlarına girmesi ile yarım milyonu </w:t>
            </w:r>
            <w:r w:rsidR="00FD0943" w:rsidRPr="007069D0">
              <w:rPr>
                <w:rFonts w:ascii="Times New Roman" w:hAnsi="Times New Roman" w:cs="Times New Roman"/>
                <w:sz w:val="24"/>
                <w:szCs w:val="24"/>
              </w:rPr>
              <w:t xml:space="preserve">aktif </w:t>
            </w:r>
            <w:r w:rsidRPr="007069D0">
              <w:rPr>
                <w:rFonts w:ascii="Times New Roman" w:hAnsi="Times New Roman" w:cs="Times New Roman"/>
                <w:sz w:val="24"/>
                <w:szCs w:val="24"/>
              </w:rPr>
              <w:t xml:space="preserve">gerçek kullanıcı olmak üzere yaklaşık 31 milyon vatandaşın hizmet kapsamına girmesi beklenmektedir. </w:t>
            </w:r>
            <w:proofErr w:type="spellStart"/>
            <w:r w:rsidR="00FD0943" w:rsidRPr="007069D0">
              <w:rPr>
                <w:rFonts w:ascii="Times New Roman" w:hAnsi="Times New Roman" w:cs="Times New Roman"/>
                <w:sz w:val="24"/>
                <w:szCs w:val="24"/>
              </w:rPr>
              <w:t>CitySDK</w:t>
            </w:r>
            <w:proofErr w:type="spellEnd"/>
            <w:r w:rsidR="00FD0943" w:rsidRPr="007069D0">
              <w:rPr>
                <w:rFonts w:ascii="Times New Roman" w:hAnsi="Times New Roman" w:cs="Times New Roman"/>
                <w:sz w:val="24"/>
                <w:szCs w:val="24"/>
              </w:rPr>
              <w:t xml:space="preserve"> projesinin temel amacı, teknolojik olarak yakınsamış akıllı kent uygulamaları için tek Avrupa pazarının oluşturulması ve bu sayede Kuzey Amerika’yla olan iç pazar büyüklük farkı ile bazı Asya ülkeleriyle olan teknoloji farkının azaltılmasıdır. Projede ülkemizin yanı sıra Finlandiya, Hollanda, İtalya, Yunanistan, İspanya, Birleşik Krallık, Portekiz ve Belçika’dan 22 ortak yer almaktadır. </w:t>
            </w:r>
          </w:p>
          <w:p w:rsidR="00D81260" w:rsidRPr="007069D0" w:rsidRDefault="00D81260" w:rsidP="00FD0943">
            <w:pPr>
              <w:spacing w:line="276" w:lineRule="auto"/>
              <w:jc w:val="both"/>
              <w:rPr>
                <w:rFonts w:ascii="Times New Roman" w:hAnsi="Times New Roman" w:cs="Times New Roman"/>
                <w:color w:val="FF0000"/>
                <w:sz w:val="24"/>
                <w:szCs w:val="24"/>
              </w:rPr>
            </w:pPr>
          </w:p>
        </w:tc>
      </w:tr>
    </w:tbl>
    <w:p w:rsidR="00D81260" w:rsidRPr="007069D0" w:rsidRDefault="00D81260" w:rsidP="00A77046">
      <w:pPr>
        <w:spacing w:after="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9"/>
        <w:gridCol w:w="4820"/>
      </w:tblGrid>
      <w:tr w:rsidR="00D81260" w:rsidRPr="007069D0" w:rsidTr="00611116">
        <w:trPr>
          <w:trHeight w:val="397"/>
        </w:trPr>
        <w:tc>
          <w:tcPr>
            <w:tcW w:w="4219" w:type="dxa"/>
          </w:tcPr>
          <w:p w:rsidR="00D81260" w:rsidRPr="007069D0" w:rsidRDefault="00D81260"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 Adı:</w:t>
            </w:r>
          </w:p>
        </w:tc>
        <w:tc>
          <w:tcPr>
            <w:tcW w:w="4820" w:type="dxa"/>
          </w:tcPr>
          <w:p w:rsidR="00D81260" w:rsidRPr="007069D0" w:rsidRDefault="00D81260"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 xml:space="preserve">SMARTSPACES  - </w:t>
            </w:r>
            <w:proofErr w:type="spellStart"/>
            <w:r w:rsidRPr="007069D0">
              <w:rPr>
                <w:rFonts w:ascii="Times New Roman" w:hAnsi="Times New Roman" w:cs="Times New Roman"/>
                <w:sz w:val="24"/>
                <w:szCs w:val="24"/>
              </w:rPr>
              <w:t>Saving</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Energy</w:t>
            </w:r>
            <w:proofErr w:type="spellEnd"/>
            <w:r w:rsidRPr="007069D0">
              <w:rPr>
                <w:rFonts w:ascii="Times New Roman" w:hAnsi="Times New Roman" w:cs="Times New Roman"/>
                <w:sz w:val="24"/>
                <w:szCs w:val="24"/>
              </w:rPr>
              <w:t xml:space="preserve"> in </w:t>
            </w:r>
            <w:proofErr w:type="spellStart"/>
            <w:r w:rsidRPr="007069D0">
              <w:rPr>
                <w:rFonts w:ascii="Times New Roman" w:hAnsi="Times New Roman" w:cs="Times New Roman"/>
                <w:sz w:val="24"/>
                <w:szCs w:val="24"/>
              </w:rPr>
              <w:t>Europe’s</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Public</w:t>
            </w:r>
            <w:proofErr w:type="spellEnd"/>
            <w:r w:rsidRPr="007069D0">
              <w:rPr>
                <w:rFonts w:ascii="Times New Roman" w:hAnsi="Times New Roman" w:cs="Times New Roman"/>
                <w:sz w:val="24"/>
                <w:szCs w:val="24"/>
              </w:rPr>
              <w:t xml:space="preserve"> </w:t>
            </w:r>
            <w:proofErr w:type="spellStart"/>
            <w:r w:rsidRPr="007069D0">
              <w:rPr>
                <w:rFonts w:ascii="Times New Roman" w:hAnsi="Times New Roman" w:cs="Times New Roman"/>
                <w:sz w:val="24"/>
                <w:szCs w:val="24"/>
              </w:rPr>
              <w:t>Buildings</w:t>
            </w:r>
            <w:proofErr w:type="spellEnd"/>
            <w:r w:rsidRPr="007069D0">
              <w:rPr>
                <w:rFonts w:ascii="Times New Roman" w:hAnsi="Times New Roman" w:cs="Times New Roman"/>
                <w:sz w:val="24"/>
                <w:szCs w:val="24"/>
              </w:rPr>
              <w:t xml:space="preserve"> Using ICT</w:t>
            </w:r>
          </w:p>
        </w:tc>
      </w:tr>
      <w:tr w:rsidR="00D81260" w:rsidRPr="007069D0" w:rsidTr="00611116">
        <w:trPr>
          <w:trHeight w:val="397"/>
        </w:trPr>
        <w:tc>
          <w:tcPr>
            <w:tcW w:w="4219" w:type="dxa"/>
          </w:tcPr>
          <w:p w:rsidR="00D81260" w:rsidRPr="007069D0" w:rsidRDefault="00D81260"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Katılımcı Kurum/Kuruluş:</w:t>
            </w:r>
          </w:p>
        </w:tc>
        <w:tc>
          <w:tcPr>
            <w:tcW w:w="4820" w:type="dxa"/>
          </w:tcPr>
          <w:p w:rsidR="00D81260" w:rsidRPr="007069D0" w:rsidRDefault="00D81260" w:rsidP="00F51209">
            <w:pPr>
              <w:jc w:val="both"/>
              <w:rPr>
                <w:rFonts w:ascii="Times New Roman" w:hAnsi="Times New Roman" w:cs="Times New Roman"/>
                <w:sz w:val="24"/>
                <w:szCs w:val="24"/>
              </w:rPr>
            </w:pPr>
            <w:r w:rsidRPr="007069D0">
              <w:rPr>
                <w:rFonts w:ascii="Times New Roman" w:hAnsi="Times New Roman" w:cs="Times New Roman"/>
                <w:sz w:val="24"/>
                <w:szCs w:val="24"/>
              </w:rPr>
              <w:t xml:space="preserve">İstanbul SPOR A.Ş. </w:t>
            </w:r>
          </w:p>
        </w:tc>
      </w:tr>
      <w:tr w:rsidR="00D81260" w:rsidRPr="007069D0" w:rsidTr="00611116">
        <w:trPr>
          <w:trHeight w:val="397"/>
        </w:trPr>
        <w:tc>
          <w:tcPr>
            <w:tcW w:w="4219" w:type="dxa"/>
          </w:tcPr>
          <w:p w:rsidR="00D81260" w:rsidRPr="007069D0" w:rsidRDefault="00D81260"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Tahmini Başlangıç Zamanı:</w:t>
            </w:r>
          </w:p>
        </w:tc>
        <w:tc>
          <w:tcPr>
            <w:tcW w:w="4820" w:type="dxa"/>
          </w:tcPr>
          <w:p w:rsidR="00D81260" w:rsidRPr="007069D0" w:rsidRDefault="00D81260"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2012</w:t>
            </w:r>
          </w:p>
        </w:tc>
      </w:tr>
      <w:tr w:rsidR="00D81260" w:rsidRPr="007069D0" w:rsidTr="00611116">
        <w:trPr>
          <w:trHeight w:val="397"/>
        </w:trPr>
        <w:tc>
          <w:tcPr>
            <w:tcW w:w="4219" w:type="dxa"/>
          </w:tcPr>
          <w:p w:rsidR="00D81260" w:rsidRPr="007069D0" w:rsidRDefault="00D81260"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Süresi:</w:t>
            </w:r>
          </w:p>
        </w:tc>
        <w:tc>
          <w:tcPr>
            <w:tcW w:w="4820" w:type="dxa"/>
          </w:tcPr>
          <w:p w:rsidR="00D81260" w:rsidRPr="007069D0" w:rsidRDefault="00D81260"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36 Ay</w:t>
            </w:r>
          </w:p>
        </w:tc>
      </w:tr>
      <w:tr w:rsidR="00D81260" w:rsidRPr="007069D0" w:rsidTr="00611116">
        <w:trPr>
          <w:trHeight w:val="397"/>
        </w:trPr>
        <w:tc>
          <w:tcPr>
            <w:tcW w:w="4219" w:type="dxa"/>
          </w:tcPr>
          <w:p w:rsidR="00D81260" w:rsidRPr="007069D0" w:rsidRDefault="00D81260" w:rsidP="00F51209">
            <w:pPr>
              <w:spacing w:line="276" w:lineRule="auto"/>
              <w:jc w:val="both"/>
              <w:rPr>
                <w:rFonts w:ascii="Times New Roman" w:hAnsi="Times New Roman" w:cs="Times New Roman"/>
                <w:b/>
                <w:sz w:val="24"/>
                <w:szCs w:val="24"/>
              </w:rPr>
            </w:pPr>
            <w:r w:rsidRPr="007069D0">
              <w:rPr>
                <w:rFonts w:ascii="Times New Roman" w:hAnsi="Times New Roman" w:cs="Times New Roman"/>
                <w:b/>
                <w:sz w:val="24"/>
                <w:szCs w:val="24"/>
              </w:rPr>
              <w:t>Projenin İlgili Olduğu Konu Başlığı:</w:t>
            </w:r>
          </w:p>
        </w:tc>
        <w:tc>
          <w:tcPr>
            <w:tcW w:w="4820" w:type="dxa"/>
          </w:tcPr>
          <w:p w:rsidR="00D81260" w:rsidRPr="007069D0" w:rsidRDefault="00D81260" w:rsidP="00F51209">
            <w:pPr>
              <w:spacing w:line="276" w:lineRule="auto"/>
              <w:jc w:val="both"/>
              <w:rPr>
                <w:rFonts w:ascii="Times New Roman" w:hAnsi="Times New Roman" w:cs="Times New Roman"/>
                <w:sz w:val="24"/>
                <w:szCs w:val="24"/>
              </w:rPr>
            </w:pPr>
            <w:r w:rsidRPr="007069D0">
              <w:rPr>
                <w:rFonts w:ascii="Times New Roman" w:hAnsi="Times New Roman" w:cs="Times New Roman"/>
                <w:sz w:val="24"/>
                <w:szCs w:val="24"/>
              </w:rPr>
              <w:t xml:space="preserve">Tema 1 – Düşük Karbon Ekonomisi ve Akıllı </w:t>
            </w:r>
            <w:proofErr w:type="spellStart"/>
            <w:r w:rsidRPr="007069D0">
              <w:rPr>
                <w:rFonts w:ascii="Times New Roman" w:hAnsi="Times New Roman" w:cs="Times New Roman"/>
                <w:sz w:val="24"/>
                <w:szCs w:val="24"/>
              </w:rPr>
              <w:t>Mobilite</w:t>
            </w:r>
            <w:proofErr w:type="spellEnd"/>
            <w:r w:rsidRPr="007069D0">
              <w:rPr>
                <w:rFonts w:ascii="Times New Roman" w:hAnsi="Times New Roman" w:cs="Times New Roman"/>
                <w:sz w:val="24"/>
                <w:szCs w:val="24"/>
              </w:rPr>
              <w:t xml:space="preserve"> için Bilgi ve İletişim Teknolojileri (BİT)</w:t>
            </w:r>
          </w:p>
        </w:tc>
      </w:tr>
      <w:tr w:rsidR="00D81260" w:rsidRPr="007069D0" w:rsidTr="00F51209">
        <w:trPr>
          <w:trHeight w:val="397"/>
        </w:trPr>
        <w:tc>
          <w:tcPr>
            <w:tcW w:w="9039" w:type="dxa"/>
            <w:gridSpan w:val="2"/>
          </w:tcPr>
          <w:p w:rsidR="00FD0943" w:rsidRPr="007069D0" w:rsidRDefault="00D81260" w:rsidP="00F51209">
            <w:pPr>
              <w:spacing w:line="276" w:lineRule="auto"/>
              <w:jc w:val="both"/>
              <w:rPr>
                <w:rFonts w:ascii="Times New Roman" w:hAnsi="Times New Roman" w:cs="Times New Roman"/>
                <w:sz w:val="24"/>
                <w:szCs w:val="24"/>
              </w:rPr>
            </w:pPr>
            <w:r w:rsidRPr="007069D0">
              <w:rPr>
                <w:rFonts w:ascii="Times New Roman" w:hAnsi="Times New Roman" w:cs="Times New Roman"/>
                <w:b/>
                <w:sz w:val="24"/>
                <w:szCs w:val="24"/>
              </w:rPr>
              <w:t>ÖZET:</w:t>
            </w:r>
            <w:r w:rsidRPr="007069D0">
              <w:rPr>
                <w:rFonts w:ascii="Times New Roman" w:hAnsi="Times New Roman" w:cs="Times New Roman"/>
                <w:sz w:val="24"/>
                <w:szCs w:val="24"/>
              </w:rPr>
              <w:t xml:space="preserve"> Bu projeyle, Avrupa’daki kamu binalarının enerji ve su taleplerini önemli miktarda azaltmaya yönelik olarak enerji karar destek, farkındalık ve yönetim hizmet bileşenlerini içeren yenilikçi bilgi ve iletişim teknolojilerine dayanan bir hizmet geliştirilecektir. Söz konusu karar desteği, enerji tüketim davranışlarını verimli kılmak üzere şehirlerin enerji yöneticilerine, bina kullanıcılarına ve ziyaretçilerine, yapıların performansından sorumlu profesyonellere, öğrencilere ve kamu geneline sunulacaktır. Projenin yönetim bileşenleri, yenilenebilir yerel enerjinin ve ısı dağıtım sistemlerinin BİT ile etkili kontrolünü içermektedir. SMARTSPCES hizmetleri Avrupa’daki kamu otoritelerinin, binalarında kullandıkları enerjiyi etkili bir şekilde yönetmesine önemli katkılar sağlayacaktır. Kamu otoriteleri tarafından önderliği yapılan </w:t>
            </w:r>
            <w:proofErr w:type="gramStart"/>
            <w:r w:rsidRPr="007069D0">
              <w:rPr>
                <w:rFonts w:ascii="Times New Roman" w:hAnsi="Times New Roman" w:cs="Times New Roman"/>
                <w:sz w:val="24"/>
                <w:szCs w:val="24"/>
              </w:rPr>
              <w:t>konsorsiyum</w:t>
            </w:r>
            <w:proofErr w:type="gramEnd"/>
            <w:r w:rsidRPr="007069D0">
              <w:rPr>
                <w:rFonts w:ascii="Times New Roman" w:hAnsi="Times New Roman" w:cs="Times New Roman"/>
                <w:sz w:val="24"/>
                <w:szCs w:val="24"/>
              </w:rPr>
              <w:t xml:space="preserve">, projenin uygulama sürecindeki adımları yürütmek için küresel BİT ve hizmet üreticilerini, yerel danışmanlarla çalışan dağıtım ağı operatörlerini, ve uzman danışmanları içermektedir. </w:t>
            </w:r>
            <w:r w:rsidR="00FD0943" w:rsidRPr="007069D0">
              <w:rPr>
                <w:rFonts w:ascii="Times New Roman" w:hAnsi="Times New Roman" w:cs="Times New Roman"/>
                <w:sz w:val="24"/>
                <w:szCs w:val="24"/>
              </w:rPr>
              <w:t>Bu projede ülkemizin yanı sıra Almanya, Belçika, İspanya, Sırbistan, Birleşik Krallık, Almanya, İtalya, Hollanda ve Fransa’dan 30 ortak bulunmaktadır.</w:t>
            </w:r>
          </w:p>
        </w:tc>
      </w:tr>
    </w:tbl>
    <w:p w:rsidR="00633A9E" w:rsidRDefault="00633A9E" w:rsidP="00A77046">
      <w:pPr>
        <w:rPr>
          <w:rFonts w:ascii="Times New Roman" w:hAnsi="Times New Roman" w:cs="Times New Roman"/>
          <w:sz w:val="24"/>
          <w:szCs w:val="24"/>
        </w:rPr>
      </w:pPr>
    </w:p>
    <w:p w:rsidR="00633A9E" w:rsidRDefault="00633A9E">
      <w:pPr>
        <w:rPr>
          <w:rFonts w:ascii="Times New Roman" w:hAnsi="Times New Roman" w:cs="Times New Roman"/>
          <w:sz w:val="24"/>
          <w:szCs w:val="24"/>
        </w:rPr>
      </w:pPr>
      <w:r>
        <w:rPr>
          <w:rFonts w:ascii="Times New Roman" w:hAnsi="Times New Roman" w:cs="Times New Roman"/>
          <w:sz w:val="24"/>
          <w:szCs w:val="24"/>
        </w:rPr>
        <w:br w:type="page"/>
      </w:r>
    </w:p>
    <w:p w:rsidR="00633A9E" w:rsidRPr="00CA46B1" w:rsidRDefault="00633A9E" w:rsidP="00633A9E">
      <w:pPr>
        <w:pStyle w:val="DzMetin"/>
        <w:spacing w:after="120" w:line="360" w:lineRule="auto"/>
        <w:jc w:val="both"/>
        <w:rPr>
          <w:rFonts w:ascii="Times New Roman" w:hAnsi="Times New Roman" w:cs="Times New Roman"/>
          <w:b/>
          <w:sz w:val="24"/>
          <w:szCs w:val="24"/>
        </w:rPr>
      </w:pPr>
      <w:r w:rsidRPr="00CA46B1">
        <w:rPr>
          <w:rFonts w:ascii="Times New Roman" w:hAnsi="Times New Roman" w:cs="Times New Roman"/>
          <w:b/>
          <w:sz w:val="24"/>
          <w:szCs w:val="24"/>
        </w:rPr>
        <w:t>LOGOLAR:</w:t>
      </w:r>
    </w:p>
    <w:p w:rsidR="00633A9E" w:rsidRDefault="00633A9E" w:rsidP="00633A9E">
      <w:pPr>
        <w:pStyle w:val="DzMetin"/>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Kalkınma Bakanlığı </w:t>
      </w:r>
      <w:proofErr w:type="gramStart"/>
      <w:r>
        <w:rPr>
          <w:rFonts w:ascii="Times New Roman" w:hAnsi="Times New Roman" w:cs="Times New Roman"/>
          <w:sz w:val="24"/>
          <w:szCs w:val="24"/>
        </w:rPr>
        <w:t>logoları</w:t>
      </w:r>
      <w:proofErr w:type="gramEnd"/>
      <w:r>
        <w:rPr>
          <w:rFonts w:ascii="Times New Roman" w:hAnsi="Times New Roman" w:cs="Times New Roman"/>
          <w:sz w:val="24"/>
          <w:szCs w:val="24"/>
        </w:rPr>
        <w:t>:</w:t>
      </w:r>
    </w:p>
    <w:p w:rsidR="00633A9E" w:rsidRDefault="00633A9E" w:rsidP="00633A9E">
      <w:pPr>
        <w:pStyle w:val="DzMetin"/>
        <w:spacing w:after="120" w:line="360" w:lineRule="auto"/>
        <w:jc w:val="both"/>
        <w:rPr>
          <w:rFonts w:ascii="Times New Roman" w:hAnsi="Times New Roman" w:cs="Times New Roman"/>
          <w:sz w:val="24"/>
          <w:szCs w:val="24"/>
        </w:rPr>
      </w:pPr>
      <w:hyperlink r:id="rId10" w:history="1">
        <w:r w:rsidRPr="00F81170">
          <w:rPr>
            <w:rStyle w:val="Kpr"/>
            <w:rFonts w:ascii="Times New Roman" w:hAnsi="Times New Roman" w:cs="Times New Roman"/>
            <w:sz w:val="24"/>
            <w:szCs w:val="24"/>
          </w:rPr>
          <w:t>http://www.kalkinma.gov.tr/DocObjects/view/12599/Kalkınma_Bakanlığı_logo(_arkası_beyaz).png</w:t>
        </w:r>
      </w:hyperlink>
    </w:p>
    <w:p w:rsidR="00633A9E" w:rsidRDefault="00633A9E" w:rsidP="00633A9E">
      <w:pPr>
        <w:pStyle w:val="DzMetin"/>
        <w:spacing w:after="120" w:line="360" w:lineRule="auto"/>
        <w:jc w:val="both"/>
        <w:rPr>
          <w:rFonts w:ascii="Times New Roman" w:hAnsi="Times New Roman" w:cs="Times New Roman"/>
          <w:sz w:val="24"/>
          <w:szCs w:val="24"/>
        </w:rPr>
      </w:pPr>
      <w:hyperlink r:id="rId11" w:history="1">
        <w:r w:rsidRPr="00F81170">
          <w:rPr>
            <w:rStyle w:val="Kpr"/>
            <w:rFonts w:ascii="Times New Roman" w:hAnsi="Times New Roman" w:cs="Times New Roman"/>
            <w:sz w:val="24"/>
            <w:szCs w:val="24"/>
          </w:rPr>
          <w:t>http://www.kalkinma.gov.tr/DocObjects/view/12601/Kalkınma_Bakanlığı_logo.png</w:t>
        </w:r>
      </w:hyperlink>
    </w:p>
    <w:p w:rsidR="00633A9E" w:rsidRDefault="00633A9E" w:rsidP="00633A9E">
      <w:pPr>
        <w:pStyle w:val="DzMetin"/>
        <w:spacing w:after="120" w:line="360" w:lineRule="auto"/>
        <w:jc w:val="both"/>
        <w:rPr>
          <w:rFonts w:ascii="Times New Roman" w:hAnsi="Times New Roman" w:cs="Times New Roman"/>
          <w:sz w:val="24"/>
          <w:szCs w:val="24"/>
        </w:rPr>
      </w:pPr>
      <w:r>
        <w:rPr>
          <w:rFonts w:ascii="Times New Roman" w:hAnsi="Times New Roman" w:cs="Times New Roman"/>
          <w:sz w:val="24"/>
          <w:szCs w:val="24"/>
        </w:rPr>
        <w:t>ICT PSP logosu:</w:t>
      </w:r>
    </w:p>
    <w:p w:rsidR="00633A9E" w:rsidRDefault="00633A9E" w:rsidP="00633A9E">
      <w:pPr>
        <w:pStyle w:val="DzMetin"/>
        <w:spacing w:after="120" w:line="360" w:lineRule="auto"/>
        <w:jc w:val="both"/>
        <w:rPr>
          <w:rFonts w:ascii="Times New Roman" w:hAnsi="Times New Roman" w:cs="Times New Roman"/>
          <w:sz w:val="24"/>
          <w:szCs w:val="24"/>
        </w:rPr>
      </w:pPr>
      <w:hyperlink r:id="rId12" w:history="1">
        <w:r w:rsidRPr="00F81170">
          <w:rPr>
            <w:rStyle w:val="Kpr"/>
            <w:rFonts w:ascii="Times New Roman" w:hAnsi="Times New Roman" w:cs="Times New Roman"/>
            <w:sz w:val="24"/>
            <w:szCs w:val="24"/>
          </w:rPr>
          <w:t>http://ec.europa.eu/information_society/activities/ict_psp/library/dissemination/img/ict_psp_logo.jpg</w:t>
        </w:r>
      </w:hyperlink>
    </w:p>
    <w:p w:rsidR="00633A9E" w:rsidRDefault="00633A9E" w:rsidP="00633A9E">
      <w:pPr>
        <w:pStyle w:val="DzMetin"/>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Avrupa Komisyonu </w:t>
      </w:r>
      <w:proofErr w:type="gramStart"/>
      <w:r>
        <w:rPr>
          <w:rFonts w:ascii="Times New Roman" w:hAnsi="Times New Roman" w:cs="Times New Roman"/>
          <w:sz w:val="24"/>
          <w:szCs w:val="24"/>
        </w:rPr>
        <w:t>logoları</w:t>
      </w:r>
      <w:proofErr w:type="gramEnd"/>
      <w:r>
        <w:rPr>
          <w:rFonts w:ascii="Times New Roman" w:hAnsi="Times New Roman" w:cs="Times New Roman"/>
          <w:sz w:val="24"/>
          <w:szCs w:val="24"/>
        </w:rPr>
        <w:t>:</w:t>
      </w:r>
    </w:p>
    <w:p w:rsidR="00633A9E" w:rsidRDefault="00633A9E" w:rsidP="00633A9E">
      <w:pPr>
        <w:pStyle w:val="DzMetin"/>
        <w:spacing w:after="120" w:line="360" w:lineRule="auto"/>
        <w:jc w:val="both"/>
        <w:rPr>
          <w:rFonts w:ascii="Times New Roman" w:hAnsi="Times New Roman" w:cs="Times New Roman"/>
          <w:sz w:val="24"/>
          <w:szCs w:val="24"/>
        </w:rPr>
      </w:pPr>
      <w:hyperlink r:id="rId13" w:history="1">
        <w:r w:rsidRPr="00F81170">
          <w:rPr>
            <w:rStyle w:val="Kpr"/>
            <w:rFonts w:ascii="Times New Roman" w:hAnsi="Times New Roman" w:cs="Times New Roman"/>
            <w:sz w:val="24"/>
            <w:szCs w:val="24"/>
          </w:rPr>
          <w:t>http://europa.eu/abc/symbols/emblem/images/europ_flag/jaune.jpg</w:t>
        </w:r>
      </w:hyperlink>
    </w:p>
    <w:p w:rsidR="00633A9E" w:rsidRDefault="00633A9E" w:rsidP="00633A9E">
      <w:pPr>
        <w:pStyle w:val="DzMetin"/>
        <w:spacing w:after="120" w:line="360" w:lineRule="auto"/>
        <w:jc w:val="both"/>
        <w:rPr>
          <w:rFonts w:ascii="Times New Roman" w:hAnsi="Times New Roman" w:cs="Times New Roman"/>
          <w:sz w:val="24"/>
          <w:szCs w:val="24"/>
        </w:rPr>
      </w:pPr>
      <w:hyperlink r:id="rId14" w:history="1">
        <w:r w:rsidRPr="00F81170">
          <w:rPr>
            <w:rStyle w:val="Kpr"/>
            <w:rFonts w:ascii="Times New Roman" w:hAnsi="Times New Roman" w:cs="Times New Roman"/>
            <w:sz w:val="24"/>
            <w:szCs w:val="24"/>
          </w:rPr>
          <w:t>http://europa.eu/abc/symbols/emblem/images/europ_flag/flag_2colors.ps</w:t>
        </w:r>
      </w:hyperlink>
    </w:p>
    <w:p w:rsidR="00B6676B" w:rsidRPr="007069D0" w:rsidRDefault="00B6676B" w:rsidP="00A77046">
      <w:pPr>
        <w:rPr>
          <w:rFonts w:ascii="Times New Roman" w:hAnsi="Times New Roman" w:cs="Times New Roman"/>
          <w:sz w:val="24"/>
          <w:szCs w:val="24"/>
        </w:rPr>
      </w:pPr>
    </w:p>
    <w:sectPr w:rsidR="00B6676B" w:rsidRPr="007069D0" w:rsidSect="00920D0D">
      <w:footerReference w:type="default" r:id="rId15"/>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8C" w:rsidRDefault="00AD688C" w:rsidP="002322FF">
      <w:pPr>
        <w:spacing w:after="0" w:line="240" w:lineRule="auto"/>
      </w:pPr>
      <w:r>
        <w:separator/>
      </w:r>
    </w:p>
  </w:endnote>
  <w:endnote w:type="continuationSeparator" w:id="0">
    <w:p w:rsidR="00AD688C" w:rsidRDefault="00AD688C" w:rsidP="0023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80822"/>
      <w:docPartObj>
        <w:docPartGallery w:val="Page Numbers (Bottom of Page)"/>
        <w:docPartUnique/>
      </w:docPartObj>
    </w:sdtPr>
    <w:sdtEndPr/>
    <w:sdtContent>
      <w:p w:rsidR="002322FF" w:rsidRDefault="002322FF">
        <w:pPr>
          <w:pStyle w:val="Altbilgi"/>
          <w:jc w:val="center"/>
        </w:pPr>
        <w:r>
          <w:fldChar w:fldCharType="begin"/>
        </w:r>
        <w:r>
          <w:instrText>PAGE   \* MERGEFORMAT</w:instrText>
        </w:r>
        <w:r>
          <w:fldChar w:fldCharType="separate"/>
        </w:r>
        <w:r w:rsidR="00633A9E">
          <w:rPr>
            <w:noProof/>
          </w:rPr>
          <w:t>6</w:t>
        </w:r>
        <w:r>
          <w:fldChar w:fldCharType="end"/>
        </w:r>
      </w:p>
    </w:sdtContent>
  </w:sdt>
  <w:p w:rsidR="002322FF" w:rsidRDefault="002322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8C" w:rsidRDefault="00AD688C" w:rsidP="002322FF">
      <w:pPr>
        <w:spacing w:after="0" w:line="240" w:lineRule="auto"/>
      </w:pPr>
      <w:r>
        <w:separator/>
      </w:r>
    </w:p>
  </w:footnote>
  <w:footnote w:type="continuationSeparator" w:id="0">
    <w:p w:rsidR="00AD688C" w:rsidRDefault="00AD688C" w:rsidP="00232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C"/>
    <w:rsid w:val="000142DE"/>
    <w:rsid w:val="00057C87"/>
    <w:rsid w:val="000F2D77"/>
    <w:rsid w:val="001D37CE"/>
    <w:rsid w:val="002322FF"/>
    <w:rsid w:val="004004E6"/>
    <w:rsid w:val="00401192"/>
    <w:rsid w:val="004A3595"/>
    <w:rsid w:val="004D09FC"/>
    <w:rsid w:val="005353D5"/>
    <w:rsid w:val="00575289"/>
    <w:rsid w:val="00611116"/>
    <w:rsid w:val="00633A9E"/>
    <w:rsid w:val="006B3B30"/>
    <w:rsid w:val="006C6047"/>
    <w:rsid w:val="007069D0"/>
    <w:rsid w:val="00920D0D"/>
    <w:rsid w:val="009C3BF0"/>
    <w:rsid w:val="00A452A2"/>
    <w:rsid w:val="00A77046"/>
    <w:rsid w:val="00AA5D1C"/>
    <w:rsid w:val="00AD688C"/>
    <w:rsid w:val="00B6676B"/>
    <w:rsid w:val="00B67A0C"/>
    <w:rsid w:val="00BF5E16"/>
    <w:rsid w:val="00D81260"/>
    <w:rsid w:val="00EA465C"/>
    <w:rsid w:val="00EE2437"/>
    <w:rsid w:val="00FD0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069D0"/>
    <w:pPr>
      <w:keepNext/>
      <w:spacing w:after="0" w:line="240" w:lineRule="auto"/>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81260"/>
    <w:pPr>
      <w:ind w:left="720"/>
      <w:contextualSpacing/>
    </w:pPr>
  </w:style>
  <w:style w:type="paragraph" w:styleId="stbilgi">
    <w:name w:val="header"/>
    <w:basedOn w:val="Normal"/>
    <w:link w:val="stbilgiChar"/>
    <w:uiPriority w:val="99"/>
    <w:unhideWhenUsed/>
    <w:rsid w:val="002322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22FF"/>
  </w:style>
  <w:style w:type="paragraph" w:styleId="Altbilgi">
    <w:name w:val="footer"/>
    <w:basedOn w:val="Normal"/>
    <w:link w:val="AltbilgiChar"/>
    <w:uiPriority w:val="99"/>
    <w:unhideWhenUsed/>
    <w:rsid w:val="002322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22FF"/>
  </w:style>
  <w:style w:type="character" w:customStyle="1" w:styleId="Balk1Char">
    <w:name w:val="Başlık 1 Char"/>
    <w:basedOn w:val="VarsaylanParagrafYazTipi"/>
    <w:link w:val="Balk1"/>
    <w:rsid w:val="007069D0"/>
    <w:rPr>
      <w:rFonts w:ascii="Times New Roman" w:eastAsia="Times New Roman" w:hAnsi="Times New Roman" w:cs="Times New Roman"/>
      <w:b/>
      <w:bCs/>
      <w:sz w:val="24"/>
      <w:szCs w:val="24"/>
    </w:rPr>
  </w:style>
  <w:style w:type="paragraph" w:styleId="ResimYazs">
    <w:name w:val="caption"/>
    <w:basedOn w:val="Normal"/>
    <w:next w:val="Normal"/>
    <w:uiPriority w:val="35"/>
    <w:unhideWhenUsed/>
    <w:qFormat/>
    <w:rsid w:val="007069D0"/>
    <w:pPr>
      <w:spacing w:after="0" w:line="240" w:lineRule="auto"/>
    </w:pPr>
    <w:rPr>
      <w:rFonts w:ascii="Times New Roman" w:eastAsia="Times New Roman" w:hAnsi="Times New Roman" w:cs="Times New Roman"/>
      <w:b/>
      <w:bCs/>
      <w:sz w:val="20"/>
      <w:szCs w:val="20"/>
      <w:lang w:eastAsia="tr-TR"/>
    </w:rPr>
  </w:style>
  <w:style w:type="paragraph" w:styleId="DzMetin">
    <w:name w:val="Plain Text"/>
    <w:basedOn w:val="Normal"/>
    <w:link w:val="DzMetinChar"/>
    <w:uiPriority w:val="99"/>
    <w:unhideWhenUsed/>
    <w:rsid w:val="007069D0"/>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7069D0"/>
    <w:rPr>
      <w:rFonts w:ascii="Calibri" w:hAnsi="Calibri"/>
      <w:szCs w:val="21"/>
    </w:rPr>
  </w:style>
  <w:style w:type="character" w:styleId="Kpr">
    <w:name w:val="Hyperlink"/>
    <w:basedOn w:val="VarsaylanParagrafYazTipi"/>
    <w:rsid w:val="00633A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069D0"/>
    <w:pPr>
      <w:keepNext/>
      <w:spacing w:after="0" w:line="240" w:lineRule="auto"/>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81260"/>
    <w:pPr>
      <w:ind w:left="720"/>
      <w:contextualSpacing/>
    </w:pPr>
  </w:style>
  <w:style w:type="paragraph" w:styleId="stbilgi">
    <w:name w:val="header"/>
    <w:basedOn w:val="Normal"/>
    <w:link w:val="stbilgiChar"/>
    <w:uiPriority w:val="99"/>
    <w:unhideWhenUsed/>
    <w:rsid w:val="002322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22FF"/>
  </w:style>
  <w:style w:type="paragraph" w:styleId="Altbilgi">
    <w:name w:val="footer"/>
    <w:basedOn w:val="Normal"/>
    <w:link w:val="AltbilgiChar"/>
    <w:uiPriority w:val="99"/>
    <w:unhideWhenUsed/>
    <w:rsid w:val="002322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22FF"/>
  </w:style>
  <w:style w:type="character" w:customStyle="1" w:styleId="Balk1Char">
    <w:name w:val="Başlık 1 Char"/>
    <w:basedOn w:val="VarsaylanParagrafYazTipi"/>
    <w:link w:val="Balk1"/>
    <w:rsid w:val="007069D0"/>
    <w:rPr>
      <w:rFonts w:ascii="Times New Roman" w:eastAsia="Times New Roman" w:hAnsi="Times New Roman" w:cs="Times New Roman"/>
      <w:b/>
      <w:bCs/>
      <w:sz w:val="24"/>
      <w:szCs w:val="24"/>
    </w:rPr>
  </w:style>
  <w:style w:type="paragraph" w:styleId="ResimYazs">
    <w:name w:val="caption"/>
    <w:basedOn w:val="Normal"/>
    <w:next w:val="Normal"/>
    <w:uiPriority w:val="35"/>
    <w:unhideWhenUsed/>
    <w:qFormat/>
    <w:rsid w:val="007069D0"/>
    <w:pPr>
      <w:spacing w:after="0" w:line="240" w:lineRule="auto"/>
    </w:pPr>
    <w:rPr>
      <w:rFonts w:ascii="Times New Roman" w:eastAsia="Times New Roman" w:hAnsi="Times New Roman" w:cs="Times New Roman"/>
      <w:b/>
      <w:bCs/>
      <w:sz w:val="20"/>
      <w:szCs w:val="20"/>
      <w:lang w:eastAsia="tr-TR"/>
    </w:rPr>
  </w:style>
  <w:style w:type="paragraph" w:styleId="DzMetin">
    <w:name w:val="Plain Text"/>
    <w:basedOn w:val="Normal"/>
    <w:link w:val="DzMetinChar"/>
    <w:uiPriority w:val="99"/>
    <w:unhideWhenUsed/>
    <w:rsid w:val="007069D0"/>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7069D0"/>
    <w:rPr>
      <w:rFonts w:ascii="Calibri" w:hAnsi="Calibri"/>
      <w:szCs w:val="21"/>
    </w:rPr>
  </w:style>
  <w:style w:type="character" w:styleId="Kpr">
    <w:name w:val="Hyperlink"/>
    <w:basedOn w:val="VarsaylanParagrafYazTipi"/>
    <w:rsid w:val="00633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uropa.eu/abc/symbols/emblem/images/europ_flag/jaune.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c.europa.eu/information_society/activities/ict_psp/library/dissemination/img/ict_psp_logo.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alkinma.gov.tr/DocObjects/view/12601/Kalk&#305;nma_Bakanl&#305;&#287;&#305;_logo.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alkinma.gov.tr/DocObjects/view/12599/Kalk&#305;nma_Bakanl&#305;&#287;&#305;_logo(_arkas&#305;_beyaz).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uropa.eu/abc/symbols/emblem/images/europ_flag/flag_2colors.p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2447</Words>
  <Characters>13954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Özhan YILMAZ</dc:creator>
  <cp:lastModifiedBy>Özhan YILMAZ</cp:lastModifiedBy>
  <cp:revision>9</cp:revision>
  <dcterms:created xsi:type="dcterms:W3CDTF">2011-08-23T06:23:00Z</dcterms:created>
  <dcterms:modified xsi:type="dcterms:W3CDTF">2011-08-23T11:19:00Z</dcterms:modified>
</cp:coreProperties>
</file>